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2A6B" w14:textId="77777777" w:rsidR="008F715F" w:rsidRDefault="008F715F">
      <w:pPr>
        <w:pStyle w:val="aa"/>
        <w:spacing w:line="360" w:lineRule="auto"/>
        <w:ind w:firstLineChars="0" w:firstLine="0"/>
      </w:pPr>
    </w:p>
    <w:p w14:paraId="088206F8" w14:textId="77777777" w:rsidR="008F715F" w:rsidRDefault="008F715F">
      <w:pPr>
        <w:pStyle w:val="aa"/>
        <w:spacing w:line="360" w:lineRule="auto"/>
        <w:ind w:firstLineChars="0" w:firstLine="0"/>
      </w:pPr>
    </w:p>
    <w:p w14:paraId="7F51FF21" w14:textId="77777777" w:rsidR="008F715F" w:rsidRDefault="008F715F">
      <w:pPr>
        <w:pStyle w:val="aa"/>
        <w:spacing w:line="360" w:lineRule="auto"/>
        <w:ind w:firstLineChars="0" w:firstLine="0"/>
      </w:pPr>
    </w:p>
    <w:p w14:paraId="07B5872F" w14:textId="77777777" w:rsidR="008F715F" w:rsidRDefault="008F715F">
      <w:pPr>
        <w:pStyle w:val="aa"/>
        <w:spacing w:line="360" w:lineRule="auto"/>
        <w:ind w:firstLineChars="0" w:firstLine="0"/>
      </w:pPr>
    </w:p>
    <w:p w14:paraId="5A0FC2A8" w14:textId="77777777" w:rsidR="008F715F" w:rsidRDefault="008F715F">
      <w:pPr>
        <w:pStyle w:val="aa"/>
        <w:spacing w:line="360" w:lineRule="auto"/>
        <w:ind w:firstLineChars="0" w:firstLine="0"/>
      </w:pPr>
    </w:p>
    <w:p w14:paraId="29AB83CB" w14:textId="77777777" w:rsidR="008F715F" w:rsidRDefault="008F715F">
      <w:pPr>
        <w:pStyle w:val="aa"/>
        <w:spacing w:line="360" w:lineRule="auto"/>
        <w:ind w:firstLineChars="0" w:firstLine="0"/>
      </w:pPr>
    </w:p>
    <w:p w14:paraId="33EBD7A4" w14:textId="77777777" w:rsidR="008F715F" w:rsidRDefault="008F715F">
      <w:pPr>
        <w:pStyle w:val="aa"/>
        <w:spacing w:line="360" w:lineRule="auto"/>
        <w:ind w:firstLineChars="0" w:firstLine="0"/>
      </w:pPr>
    </w:p>
    <w:p w14:paraId="79BC80B2" w14:textId="77777777" w:rsidR="008F715F" w:rsidRDefault="008F715F">
      <w:pPr>
        <w:pStyle w:val="aa"/>
        <w:spacing w:line="360" w:lineRule="auto"/>
        <w:ind w:firstLineChars="0" w:firstLine="0"/>
      </w:pPr>
    </w:p>
    <w:p w14:paraId="4FA22FDD" w14:textId="77777777" w:rsidR="008F715F" w:rsidRDefault="008F715F">
      <w:pPr>
        <w:pStyle w:val="aa"/>
        <w:spacing w:line="360" w:lineRule="auto"/>
        <w:ind w:firstLineChars="0" w:firstLine="0"/>
      </w:pPr>
    </w:p>
    <w:p w14:paraId="1C130D3A" w14:textId="77777777" w:rsidR="008F715F" w:rsidRDefault="008F715F">
      <w:pPr>
        <w:pStyle w:val="aa"/>
        <w:spacing w:line="360" w:lineRule="auto"/>
        <w:ind w:firstLineChars="0" w:firstLine="0"/>
      </w:pPr>
    </w:p>
    <w:p w14:paraId="21EF18AE" w14:textId="77777777" w:rsidR="008F715F" w:rsidRDefault="007A3A4B">
      <w:pPr>
        <w:pStyle w:val="aa"/>
        <w:spacing w:line="360" w:lineRule="auto"/>
        <w:ind w:firstLineChars="0" w:firstLine="0"/>
      </w:pPr>
      <w:r>
        <w:rPr>
          <w:rFonts w:ascii="黑体" w:eastAsia="黑体" w:hint="eastAsia"/>
          <w:sz w:val="44"/>
          <w:szCs w:val="44"/>
        </w:rPr>
        <w:t>光伏电站太阳能板巡检清洁一体化设备运维要求</w:t>
      </w:r>
    </w:p>
    <w:p w14:paraId="6C927DEF" w14:textId="77777777" w:rsidR="008F715F" w:rsidRDefault="008F715F">
      <w:pPr>
        <w:pStyle w:val="aa"/>
        <w:spacing w:line="360" w:lineRule="auto"/>
      </w:pPr>
    </w:p>
    <w:p w14:paraId="4AF638E7" w14:textId="77777777" w:rsidR="008F715F" w:rsidRDefault="007A3A4B">
      <w:pPr>
        <w:pStyle w:val="aa"/>
        <w:spacing w:line="360" w:lineRule="auto"/>
        <w:ind w:firstLineChars="0" w:firstLine="0"/>
        <w:jc w:val="center"/>
        <w:rPr>
          <w:rFonts w:ascii="黑体" w:eastAsia="黑体"/>
          <w:sz w:val="44"/>
          <w:szCs w:val="44"/>
        </w:rPr>
      </w:pPr>
      <w:bookmarkStart w:id="0" w:name="_Toc298937368"/>
      <w:bookmarkStart w:id="1" w:name="_Toc298937333"/>
      <w:bookmarkStart w:id="2" w:name="_Toc318613715"/>
      <w:bookmarkStart w:id="3" w:name="_Toc309996019"/>
      <w:bookmarkStart w:id="4" w:name="_Toc309994571"/>
      <w:bookmarkStart w:id="5" w:name="_Toc320020914"/>
      <w:bookmarkStart w:id="6" w:name="_Toc298938794"/>
      <w:bookmarkStart w:id="7" w:name="_Toc304825020"/>
      <w:bookmarkStart w:id="8" w:name="_Toc298938646"/>
      <w:bookmarkStart w:id="9" w:name="_Toc304824981"/>
      <w:bookmarkStart w:id="10" w:name="_Toc298937473"/>
      <w:bookmarkStart w:id="11" w:name="_Toc298937620"/>
      <w:bookmarkStart w:id="12" w:name="_Toc298937560"/>
      <w:bookmarkStart w:id="13" w:name="_Toc309995492"/>
      <w:bookmarkStart w:id="14" w:name="_Toc309993200"/>
      <w:bookmarkStart w:id="15" w:name="_Toc298937430"/>
      <w:bookmarkStart w:id="16" w:name="_Toc304402675"/>
      <w:bookmarkStart w:id="17" w:name="_Toc304825093"/>
      <w:bookmarkStart w:id="18" w:name="_Toc309995598"/>
      <w:bookmarkStart w:id="19" w:name="_Toc309997060"/>
      <w:bookmarkStart w:id="20" w:name="_Toc310002657"/>
      <w:bookmarkStart w:id="21" w:name="_Toc309995410"/>
      <w:bookmarkStart w:id="22" w:name="_Toc304828086"/>
      <w:r>
        <w:rPr>
          <w:rFonts w:ascii="黑体" w:eastAsia="黑体" w:hint="eastAsia"/>
          <w:sz w:val="44"/>
          <w:szCs w:val="44"/>
        </w:rPr>
        <w:t>编 </w:t>
      </w:r>
      <w:r>
        <w:rPr>
          <w:rFonts w:ascii="黑体" w:eastAsia="黑体" w:hAnsi="黑体" w:cs="黑体" w:hint="eastAsia"/>
          <w:sz w:val="44"/>
          <w:szCs w:val="44"/>
        </w:rPr>
        <w:t>制</w:t>
      </w:r>
      <w:r>
        <w:rPr>
          <w:rFonts w:ascii="黑体" w:eastAsia="黑体" w:hint="eastAsia"/>
          <w:sz w:val="44"/>
          <w:szCs w:val="44"/>
        </w:rPr>
        <w:t> </w:t>
      </w:r>
      <w:r>
        <w:rPr>
          <w:rFonts w:ascii="黑体" w:eastAsia="黑体" w:hAnsi="黑体" w:cs="黑体" w:hint="eastAsia"/>
          <w:sz w:val="44"/>
          <w:szCs w:val="44"/>
        </w:rPr>
        <w:t>说</w:t>
      </w:r>
      <w:bookmarkEnd w:id="0"/>
      <w:bookmarkEnd w:id="1"/>
      <w:r>
        <w:rPr>
          <w:rFonts w:ascii="黑体" w:eastAsia="黑体" w:hint="eastAsia"/>
          <w:sz w:val="44"/>
          <w:szCs w:val="44"/>
        </w:rPr>
        <w:t> </w:t>
      </w:r>
      <w:r>
        <w:rPr>
          <w:rFonts w:ascii="黑体" w:eastAsia="黑体" w:hAnsi="黑体" w:cs="黑体" w:hint="eastAsia"/>
          <w:sz w:val="44"/>
          <w:szCs w:val="44"/>
        </w:rPr>
        <w:t>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2F1D227" w14:textId="77777777" w:rsidR="008F715F" w:rsidRDefault="008F715F">
      <w:pPr>
        <w:pStyle w:val="aa"/>
        <w:spacing w:line="360" w:lineRule="auto"/>
        <w:ind w:firstLine="560"/>
        <w:jc w:val="center"/>
        <w:rPr>
          <w:rFonts w:ascii="黑体" w:eastAsia="黑体"/>
          <w:sz w:val="28"/>
          <w:szCs w:val="28"/>
        </w:rPr>
      </w:pPr>
    </w:p>
    <w:p w14:paraId="72181302" w14:textId="77777777" w:rsidR="008F715F" w:rsidRDefault="008F715F">
      <w:pPr>
        <w:pStyle w:val="aa"/>
        <w:spacing w:line="360" w:lineRule="auto"/>
        <w:ind w:firstLine="560"/>
        <w:jc w:val="center"/>
        <w:rPr>
          <w:rFonts w:ascii="黑体" w:eastAsia="黑体"/>
          <w:sz w:val="28"/>
          <w:szCs w:val="28"/>
        </w:rPr>
      </w:pPr>
    </w:p>
    <w:p w14:paraId="209E22B3" w14:textId="77777777" w:rsidR="008F715F" w:rsidRDefault="008F715F">
      <w:pPr>
        <w:pStyle w:val="aa"/>
        <w:spacing w:line="360" w:lineRule="auto"/>
        <w:sectPr w:rsidR="008F715F">
          <w:headerReference w:type="even" r:id="rId8"/>
          <w:headerReference w:type="default" r:id="rId9"/>
          <w:footerReference w:type="default" r:id="rId10"/>
          <w:pgSz w:w="11906" w:h="16838"/>
          <w:pgMar w:top="567" w:right="1134" w:bottom="1134" w:left="1417" w:header="1418" w:footer="1134" w:gutter="0"/>
          <w:cols w:space="720"/>
          <w:formProt w:val="0"/>
          <w:docGrid w:type="lines" w:linePitch="312"/>
        </w:sectPr>
      </w:pPr>
    </w:p>
    <w:p w14:paraId="6DA5E0F3" w14:textId="77777777" w:rsidR="008F715F" w:rsidRDefault="007A3A4B">
      <w:pPr>
        <w:pStyle w:val="ac"/>
        <w:spacing w:line="360" w:lineRule="auto"/>
      </w:pPr>
      <w:bookmarkStart w:id="23" w:name="_Toc513731109"/>
      <w:bookmarkStart w:id="24" w:name="_Toc309992160"/>
      <w:bookmarkStart w:id="25" w:name="_Toc513731021"/>
      <w:r>
        <w:rPr>
          <w:rFonts w:hint="eastAsia"/>
        </w:rPr>
        <w:lastRenderedPageBreak/>
        <w:t>目次</w:t>
      </w:r>
      <w:bookmarkEnd w:id="23"/>
      <w:bookmarkEnd w:id="24"/>
      <w:bookmarkEnd w:id="25"/>
    </w:p>
    <w:p w14:paraId="0FB3C5C3" w14:textId="77777777" w:rsidR="008F715F" w:rsidRDefault="007A3A4B">
      <w:pPr>
        <w:pStyle w:val="TOC1"/>
        <w:spacing w:before="78" w:after="78" w:line="360" w:lineRule="auto"/>
        <w:rPr>
          <w:rFonts w:ascii="Calibri" w:hAnsi="Calibri"/>
          <w:szCs w:val="22"/>
        </w:rPr>
      </w:pPr>
      <w:r>
        <w:rPr>
          <w:rFonts w:hAnsi="宋体"/>
        </w:rPr>
        <w:fldChar w:fldCharType="begin"/>
      </w:r>
      <w:r>
        <w:rPr>
          <w:rFonts w:hAnsi="宋体"/>
        </w:rPr>
        <w:instrText xml:space="preserve"> </w:instrText>
      </w:r>
      <w:r>
        <w:rPr>
          <w:rFonts w:hAnsi="宋体" w:hint="eastAsia"/>
        </w:rPr>
        <w:instrText>TOC \o "1-1" \h \z \u</w:instrText>
      </w:r>
      <w:r>
        <w:rPr>
          <w:rFonts w:hAnsi="宋体"/>
        </w:rPr>
        <w:instrText xml:space="preserve"> </w:instrText>
      </w:r>
      <w:r>
        <w:rPr>
          <w:rFonts w:hAnsi="宋体"/>
        </w:rPr>
        <w:fldChar w:fldCharType="separate"/>
      </w:r>
      <w:hyperlink w:anchor="_Toc513731110" w:history="1">
        <w:r>
          <w:rPr>
            <w:rStyle w:val="a9"/>
            <w:rFonts w:hAnsi="宋体"/>
          </w:rPr>
          <w:t xml:space="preserve">1 </w:t>
        </w:r>
        <w:r>
          <w:rPr>
            <w:rStyle w:val="a9"/>
            <w:rFonts w:hAnsi="宋体" w:hint="eastAsia"/>
          </w:rPr>
          <w:t>编制背景</w:t>
        </w:r>
        <w:r>
          <w:tab/>
        </w:r>
        <w:r>
          <w:fldChar w:fldCharType="begin"/>
        </w:r>
        <w:r>
          <w:instrText xml:space="preserve"> PAGEREF _Toc513731110 \h </w:instrText>
        </w:r>
        <w:r>
          <w:fldChar w:fldCharType="separate"/>
        </w:r>
        <w:r>
          <w:t>29</w:t>
        </w:r>
        <w:r>
          <w:fldChar w:fldCharType="end"/>
        </w:r>
      </w:hyperlink>
    </w:p>
    <w:p w14:paraId="7EB68A80" w14:textId="77777777" w:rsidR="008F715F" w:rsidRDefault="007A3A4B">
      <w:pPr>
        <w:pStyle w:val="TOC1"/>
        <w:spacing w:before="78" w:after="78" w:line="360" w:lineRule="auto"/>
        <w:rPr>
          <w:rFonts w:ascii="Calibri" w:hAnsi="Calibri"/>
          <w:szCs w:val="22"/>
        </w:rPr>
      </w:pPr>
      <w:hyperlink w:anchor="_Toc513731111" w:history="1">
        <w:r>
          <w:rPr>
            <w:rStyle w:val="a9"/>
            <w:rFonts w:hAnsi="宋体"/>
          </w:rPr>
          <w:t xml:space="preserve">2 </w:t>
        </w:r>
        <w:r>
          <w:rPr>
            <w:rStyle w:val="a9"/>
            <w:rFonts w:hAnsi="宋体" w:hint="eastAsia"/>
          </w:rPr>
          <w:t>编制主要原则</w:t>
        </w:r>
        <w:r>
          <w:tab/>
        </w:r>
        <w:r>
          <w:fldChar w:fldCharType="begin"/>
        </w:r>
        <w:r>
          <w:instrText xml:space="preserve"> PAGEREF _Toc513731111 \h </w:instrText>
        </w:r>
        <w:r>
          <w:fldChar w:fldCharType="separate"/>
        </w:r>
        <w:r>
          <w:t>29</w:t>
        </w:r>
        <w:r>
          <w:fldChar w:fldCharType="end"/>
        </w:r>
      </w:hyperlink>
    </w:p>
    <w:p w14:paraId="3BEC4756" w14:textId="77777777" w:rsidR="008F715F" w:rsidRDefault="007A3A4B">
      <w:pPr>
        <w:pStyle w:val="TOC1"/>
        <w:spacing w:before="78" w:after="78" w:line="360" w:lineRule="auto"/>
        <w:rPr>
          <w:rFonts w:ascii="Calibri" w:hAnsi="Calibri"/>
          <w:szCs w:val="22"/>
        </w:rPr>
      </w:pPr>
      <w:hyperlink w:anchor="_Toc513731112" w:history="1">
        <w:r>
          <w:rPr>
            <w:rStyle w:val="a9"/>
            <w:rFonts w:hAnsi="宋体"/>
          </w:rPr>
          <w:t xml:space="preserve">3 </w:t>
        </w:r>
        <w:r>
          <w:rPr>
            <w:rStyle w:val="a9"/>
            <w:rFonts w:hAnsi="宋体" w:hint="eastAsia"/>
          </w:rPr>
          <w:t>主要工作过程</w:t>
        </w:r>
        <w:r>
          <w:tab/>
        </w:r>
        <w:r>
          <w:fldChar w:fldCharType="begin"/>
        </w:r>
        <w:r>
          <w:instrText xml:space="preserve"> PAGEREF _Toc513731112 \h </w:instrText>
        </w:r>
        <w:r>
          <w:fldChar w:fldCharType="separate"/>
        </w:r>
        <w:r>
          <w:t>29</w:t>
        </w:r>
        <w:r>
          <w:fldChar w:fldCharType="end"/>
        </w:r>
      </w:hyperlink>
    </w:p>
    <w:p w14:paraId="72798B60" w14:textId="77777777" w:rsidR="008F715F" w:rsidRDefault="007A3A4B">
      <w:pPr>
        <w:pStyle w:val="TOC1"/>
        <w:spacing w:before="78" w:after="78" w:line="360" w:lineRule="auto"/>
        <w:rPr>
          <w:rFonts w:ascii="Calibri" w:hAnsi="Calibri"/>
          <w:szCs w:val="22"/>
        </w:rPr>
      </w:pPr>
      <w:hyperlink w:anchor="_Toc513731113" w:history="1">
        <w:r>
          <w:rPr>
            <w:rStyle w:val="a9"/>
            <w:rFonts w:hAnsi="宋体"/>
          </w:rPr>
          <w:t>4</w:t>
        </w:r>
        <w:r>
          <w:rPr>
            <w:rStyle w:val="a9"/>
          </w:rPr>
          <w:t xml:space="preserve"> </w:t>
        </w:r>
        <w:r>
          <w:rPr>
            <w:rStyle w:val="a9"/>
            <w:rFonts w:hint="eastAsia"/>
          </w:rPr>
          <w:t>标准结构和内容说明</w:t>
        </w:r>
        <w:r>
          <w:tab/>
        </w:r>
        <w:r>
          <w:fldChar w:fldCharType="begin"/>
        </w:r>
        <w:r>
          <w:instrText xml:space="preserve"> PAGEREF _Toc513731113 \h </w:instrText>
        </w:r>
        <w:r>
          <w:fldChar w:fldCharType="separate"/>
        </w:r>
        <w:r>
          <w:t>29</w:t>
        </w:r>
        <w:r>
          <w:fldChar w:fldCharType="end"/>
        </w:r>
      </w:hyperlink>
    </w:p>
    <w:p w14:paraId="3BE4D99C" w14:textId="77777777" w:rsidR="008F715F" w:rsidRDefault="007A3A4B">
      <w:pPr>
        <w:pStyle w:val="TOC1"/>
        <w:spacing w:before="78" w:after="78" w:line="360" w:lineRule="auto"/>
        <w:rPr>
          <w:rFonts w:ascii="Calibri" w:hAnsi="Calibri"/>
          <w:szCs w:val="22"/>
        </w:rPr>
      </w:pPr>
      <w:hyperlink w:anchor="_Toc513731114" w:history="1">
        <w:r>
          <w:rPr>
            <w:rStyle w:val="a9"/>
            <w:rFonts w:hAnsi="宋体"/>
          </w:rPr>
          <w:t>5</w:t>
        </w:r>
        <w:r>
          <w:rPr>
            <w:rStyle w:val="a9"/>
            <w:rFonts w:hint="eastAsia"/>
          </w:rPr>
          <w:t>相关标准对比说明</w:t>
        </w:r>
        <w:r>
          <w:rPr>
            <w:rStyle w:val="a9"/>
          </w:rPr>
          <w:tab/>
        </w:r>
        <w:r>
          <w:fldChar w:fldCharType="begin"/>
        </w:r>
        <w:r>
          <w:rPr>
            <w:rStyle w:val="a9"/>
          </w:rPr>
          <w:instrText xml:space="preserve"> PAGEREF _Toc513731114 \h </w:instrText>
        </w:r>
        <w:r>
          <w:fldChar w:fldCharType="separate"/>
        </w:r>
        <w:r>
          <w:rPr>
            <w:rStyle w:val="a9"/>
          </w:rPr>
          <w:t>30</w:t>
        </w:r>
        <w:r>
          <w:fldChar w:fldCharType="end"/>
        </w:r>
      </w:hyperlink>
    </w:p>
    <w:p w14:paraId="557D19B3" w14:textId="77777777" w:rsidR="008F715F" w:rsidRDefault="007A3A4B">
      <w:pPr>
        <w:pStyle w:val="TOC1"/>
        <w:spacing w:before="78" w:after="78" w:line="360" w:lineRule="auto"/>
        <w:rPr>
          <w:rFonts w:ascii="Calibri" w:hAnsi="Calibri"/>
          <w:szCs w:val="22"/>
        </w:rPr>
      </w:pPr>
      <w:hyperlink w:anchor="_Toc513731115" w:history="1">
        <w:r>
          <w:rPr>
            <w:rStyle w:val="a9"/>
            <w:rFonts w:hAnsi="宋体"/>
          </w:rPr>
          <w:t>6</w:t>
        </w:r>
        <w:r>
          <w:rPr>
            <w:rStyle w:val="a9"/>
            <w:rFonts w:hAnsi="宋体" w:hint="eastAsia"/>
          </w:rPr>
          <w:t>标准实施措施说明</w:t>
        </w:r>
        <w:r>
          <w:tab/>
        </w:r>
        <w:r>
          <w:fldChar w:fldCharType="begin"/>
        </w:r>
        <w:r>
          <w:instrText xml:space="preserve"> PAGEREF _Toc513731115 \h </w:instrText>
        </w:r>
        <w:r>
          <w:fldChar w:fldCharType="separate"/>
        </w:r>
        <w:r>
          <w:t>30</w:t>
        </w:r>
        <w:r>
          <w:fldChar w:fldCharType="end"/>
        </w:r>
      </w:hyperlink>
    </w:p>
    <w:p w14:paraId="3B4FD4AD" w14:textId="77777777" w:rsidR="008F715F" w:rsidRDefault="007A3A4B">
      <w:pPr>
        <w:pStyle w:val="aa"/>
        <w:spacing w:line="360" w:lineRule="auto"/>
        <w:rPr>
          <w:rFonts w:hAnsi="宋体" w:hint="eastAsia"/>
          <w:szCs w:val="21"/>
        </w:rPr>
      </w:pPr>
      <w:r>
        <w:rPr>
          <w:rFonts w:hAnsi="宋体"/>
          <w:szCs w:val="21"/>
        </w:rPr>
        <w:fldChar w:fldCharType="end"/>
      </w:r>
    </w:p>
    <w:p w14:paraId="009EB2DD" w14:textId="77777777" w:rsidR="008F715F" w:rsidRDefault="008F715F">
      <w:pPr>
        <w:pStyle w:val="aa"/>
        <w:spacing w:line="360" w:lineRule="auto"/>
        <w:rPr>
          <w:rFonts w:hAnsi="宋体" w:hint="eastAsia"/>
          <w:szCs w:val="21"/>
        </w:rPr>
      </w:pPr>
    </w:p>
    <w:p w14:paraId="63407CBC" w14:textId="77777777" w:rsidR="008F715F" w:rsidRDefault="008F715F">
      <w:pPr>
        <w:pStyle w:val="aa"/>
        <w:spacing w:line="360" w:lineRule="auto"/>
        <w:rPr>
          <w:rFonts w:hAnsi="宋体" w:hint="eastAsia"/>
          <w:szCs w:val="21"/>
        </w:rPr>
      </w:pPr>
    </w:p>
    <w:p w14:paraId="3BFE17D5" w14:textId="77777777" w:rsidR="008F715F" w:rsidRDefault="008F715F">
      <w:pPr>
        <w:pStyle w:val="aa"/>
        <w:spacing w:line="360" w:lineRule="auto"/>
        <w:rPr>
          <w:rFonts w:hAnsi="宋体" w:hint="eastAsia"/>
          <w:szCs w:val="21"/>
        </w:rPr>
      </w:pPr>
    </w:p>
    <w:p w14:paraId="1DE51C06" w14:textId="77777777" w:rsidR="008F715F" w:rsidRDefault="008F715F">
      <w:pPr>
        <w:pStyle w:val="aa"/>
        <w:spacing w:line="360" w:lineRule="auto"/>
        <w:rPr>
          <w:rFonts w:hAnsi="宋体" w:hint="eastAsia"/>
          <w:szCs w:val="21"/>
        </w:rPr>
        <w:sectPr w:rsidR="008F715F">
          <w:headerReference w:type="default" r:id="rId11"/>
          <w:footerReference w:type="default" r:id="rId12"/>
          <w:pgSz w:w="11906" w:h="16838"/>
          <w:pgMar w:top="567" w:right="1134" w:bottom="1134" w:left="1417" w:header="1418" w:footer="1134" w:gutter="0"/>
          <w:pgNumType w:start="28"/>
          <w:cols w:space="720"/>
          <w:formProt w:val="0"/>
          <w:docGrid w:type="lines" w:linePitch="312"/>
        </w:sectPr>
      </w:pPr>
    </w:p>
    <w:p w14:paraId="7970DD41" w14:textId="77777777" w:rsidR="008F715F" w:rsidRDefault="007A3A4B">
      <w:pPr>
        <w:pStyle w:val="11"/>
        <w:spacing w:before="312" w:after="312" w:line="360" w:lineRule="auto"/>
        <w:rPr>
          <w:rFonts w:ascii="黑体" w:hAnsi="黑体" w:hint="eastAsia"/>
          <w:szCs w:val="21"/>
        </w:rPr>
      </w:pPr>
      <w:bookmarkStart w:id="26" w:name="_Toc513731110"/>
      <w:r>
        <w:rPr>
          <w:rFonts w:ascii="黑体" w:hAnsi="黑体" w:hint="eastAsia"/>
          <w:szCs w:val="21"/>
        </w:rPr>
        <w:lastRenderedPageBreak/>
        <w:t>1 编制背景</w:t>
      </w:r>
      <w:bookmarkEnd w:id="26"/>
    </w:p>
    <w:p w14:paraId="79E506F6" w14:textId="77777777" w:rsidR="008F715F" w:rsidRDefault="007A3A4B">
      <w:pPr>
        <w:pStyle w:val="aa"/>
        <w:spacing w:line="360" w:lineRule="auto"/>
      </w:pPr>
      <w:r>
        <w:rPr>
          <w:rFonts w:hint="eastAsia"/>
        </w:rPr>
        <w:t>本标准是根据电机</w:t>
      </w:r>
      <w:proofErr w:type="gramStart"/>
      <w:r>
        <w:rPr>
          <w:rFonts w:hint="eastAsia"/>
        </w:rPr>
        <w:t>咨</w:t>
      </w:r>
      <w:proofErr w:type="gramEnd"/>
      <w:r>
        <w:rPr>
          <w:rFonts w:hint="eastAsia"/>
        </w:rPr>
        <w:t>〔2025〕738 号文，关于印发“中国电机工程学会2025年标准计划(第二批)”的通知</w:t>
      </w:r>
      <w:r>
        <w:t>下达</w:t>
      </w:r>
      <w:r>
        <w:rPr>
          <w:rFonts w:hint="eastAsia"/>
        </w:rPr>
        <w:t>的制定</w:t>
      </w:r>
      <w:r>
        <w:t>任务</w:t>
      </w:r>
      <w:r>
        <w:rPr>
          <w:rFonts w:hint="eastAsia"/>
        </w:rPr>
        <w:t>，项目序号：10。对“光伏电站太阳能板巡检清洁一体化设备运维技术规范 标准”进行制定的</w:t>
      </w:r>
      <w:r>
        <w:t>。</w:t>
      </w:r>
      <w:r>
        <w:rPr>
          <w:rFonts w:hint="eastAsia"/>
        </w:rPr>
        <w:t>由</w:t>
      </w:r>
      <w:r>
        <w:rPr>
          <w:rFonts w:hint="eastAsia"/>
          <w:b/>
          <w:bCs/>
        </w:rPr>
        <w:t>大唐陕西发电有限公司新能源分公司</w:t>
      </w:r>
      <w:r>
        <w:rPr>
          <w:rFonts w:hint="eastAsia"/>
        </w:rPr>
        <w:t>单位</w:t>
      </w:r>
      <w:r>
        <w:t>负责起草。</w:t>
      </w:r>
    </w:p>
    <w:p w14:paraId="6249116A" w14:textId="77777777" w:rsidR="008F715F" w:rsidRDefault="007A3A4B">
      <w:pPr>
        <w:pStyle w:val="aa"/>
        <w:spacing w:line="360" w:lineRule="auto"/>
      </w:pPr>
      <w:r>
        <w:rPr>
          <w:rFonts w:hint="eastAsia"/>
        </w:rPr>
        <w:t>本标准是响应</w:t>
      </w:r>
      <w:proofErr w:type="gramStart"/>
      <w:r>
        <w:rPr>
          <w:rFonts w:hint="eastAsia"/>
        </w:rPr>
        <w:t>光伏运维</w:t>
      </w:r>
      <w:proofErr w:type="gramEnd"/>
      <w:r>
        <w:rPr>
          <w:rFonts w:hint="eastAsia"/>
        </w:rPr>
        <w:t>行业标准化发展需求，依托 “光伏电站太阳能板巡检清洁一体化设备研发” 科研项目支撑，由大唐定边风力发电有限责任公司牵头，联合大唐陕西发电有限公司水电事业部、大唐澄城风力发电有限责任公司、深圳江</w:t>
      </w:r>
      <w:proofErr w:type="gramStart"/>
      <w:r>
        <w:rPr>
          <w:rFonts w:hint="eastAsia"/>
        </w:rPr>
        <w:t>行联加智能</w:t>
      </w:r>
      <w:proofErr w:type="gramEnd"/>
      <w:r>
        <w:rPr>
          <w:rFonts w:hint="eastAsia"/>
        </w:rPr>
        <w:t>科技有限公司、广东科凯达智能机器人有限公司等单位共同起草制定。</w:t>
      </w:r>
    </w:p>
    <w:p w14:paraId="282DE7B3" w14:textId="77777777" w:rsidR="008F715F" w:rsidRDefault="007A3A4B">
      <w:pPr>
        <w:pStyle w:val="aa"/>
        <w:spacing w:line="360" w:lineRule="auto"/>
      </w:pPr>
      <w:r>
        <w:rPr>
          <w:rFonts w:hint="eastAsia"/>
        </w:rPr>
        <w:t>当前光伏电站巡检清洁一体化设备在行业内广泛应用，但缺乏统一的运</w:t>
      </w:r>
      <w:proofErr w:type="gramStart"/>
      <w:r>
        <w:rPr>
          <w:rFonts w:hint="eastAsia"/>
        </w:rPr>
        <w:t>维技术</w:t>
      </w:r>
      <w:proofErr w:type="gramEnd"/>
      <w:r>
        <w:rPr>
          <w:rFonts w:hint="eastAsia"/>
        </w:rPr>
        <w:t>标准，导致运</w:t>
      </w:r>
      <w:proofErr w:type="gramStart"/>
      <w:r>
        <w:rPr>
          <w:rFonts w:hint="eastAsia"/>
        </w:rPr>
        <w:t>维过程</w:t>
      </w:r>
      <w:proofErr w:type="gramEnd"/>
      <w:r>
        <w:rPr>
          <w:rFonts w:hint="eastAsia"/>
        </w:rPr>
        <w:t>中存在操作不规范、运维周期混乱、故障处理效率低等突出问题。部分电站</w:t>
      </w:r>
      <w:proofErr w:type="gramStart"/>
      <w:r>
        <w:rPr>
          <w:rFonts w:hint="eastAsia"/>
        </w:rPr>
        <w:t>因运维人员</w:t>
      </w:r>
      <w:proofErr w:type="gramEnd"/>
      <w:r>
        <w:rPr>
          <w:rFonts w:hint="eastAsia"/>
        </w:rPr>
        <w:t>技能不足、工具配置不达标，不仅造成设备故障发生率偏高、清洁与巡检效果不佳，还可能导致光伏组件损伤，影响电站发电效率与安全稳定运行。</w:t>
      </w:r>
    </w:p>
    <w:p w14:paraId="041E8FDA" w14:textId="77777777" w:rsidR="008F715F" w:rsidRDefault="007A3A4B">
      <w:pPr>
        <w:pStyle w:val="aa"/>
        <w:spacing w:line="360" w:lineRule="auto"/>
      </w:pPr>
      <w:r>
        <w:rPr>
          <w:rFonts w:hint="eastAsia"/>
        </w:rPr>
        <w:t>为填补光伏电站太阳能板巡检清洁一体化设备运维专项标准空白，衔接设备制造与电站应用环节，形成“研发-生产-运维”</w:t>
      </w:r>
      <w:proofErr w:type="gramStart"/>
      <w:r>
        <w:rPr>
          <w:rFonts w:hint="eastAsia"/>
        </w:rPr>
        <w:t>完整技术</w:t>
      </w:r>
      <w:proofErr w:type="gramEnd"/>
      <w:r>
        <w:rPr>
          <w:rFonts w:hint="eastAsia"/>
        </w:rPr>
        <w:t>链条，规范运维全流程操作，提升运</w:t>
      </w:r>
      <w:proofErr w:type="gramStart"/>
      <w:r>
        <w:rPr>
          <w:rFonts w:hint="eastAsia"/>
        </w:rPr>
        <w:t>维质量</w:t>
      </w:r>
      <w:proofErr w:type="gramEnd"/>
      <w:r>
        <w:rPr>
          <w:rFonts w:hint="eastAsia"/>
        </w:rPr>
        <w:t>与效率，降低安全风险与发电损失，推动</w:t>
      </w:r>
      <w:proofErr w:type="gramStart"/>
      <w:r>
        <w:rPr>
          <w:rFonts w:hint="eastAsia"/>
        </w:rPr>
        <w:t>光伏运维</w:t>
      </w:r>
      <w:proofErr w:type="gramEnd"/>
      <w:r>
        <w:rPr>
          <w:rFonts w:hint="eastAsia"/>
        </w:rPr>
        <w:t>行业高质量可持续发展，特制定本标准。</w:t>
      </w:r>
    </w:p>
    <w:p w14:paraId="23815F29" w14:textId="77777777" w:rsidR="008F715F" w:rsidRDefault="007A3A4B">
      <w:pPr>
        <w:pStyle w:val="11"/>
        <w:spacing w:before="312" w:after="312" w:line="360" w:lineRule="auto"/>
        <w:rPr>
          <w:rFonts w:ascii="黑体" w:hAnsi="黑体" w:hint="eastAsia"/>
          <w:szCs w:val="21"/>
        </w:rPr>
      </w:pPr>
      <w:bookmarkStart w:id="27" w:name="_Toc513731111"/>
      <w:r>
        <w:rPr>
          <w:rFonts w:ascii="黑体" w:hAnsi="黑体" w:hint="eastAsia"/>
          <w:szCs w:val="21"/>
        </w:rPr>
        <w:t>2编制主要原则</w:t>
      </w:r>
      <w:bookmarkEnd w:id="27"/>
    </w:p>
    <w:p w14:paraId="352C6DE1" w14:textId="77777777" w:rsidR="008F715F" w:rsidRDefault="007A3A4B">
      <w:pPr>
        <w:pStyle w:val="ae"/>
        <w:spacing w:beforeLines="50" w:before="156" w:afterLines="50" w:after="156" w:line="360" w:lineRule="auto"/>
      </w:pPr>
      <w:r>
        <w:t>2.1 科学性</w:t>
      </w:r>
    </w:p>
    <w:p w14:paraId="04801D3E" w14:textId="77777777" w:rsidR="008F715F" w:rsidRDefault="007A3A4B">
      <w:pPr>
        <w:pStyle w:val="aa"/>
        <w:spacing w:line="360" w:lineRule="auto"/>
      </w:pPr>
      <w:r>
        <w:t>以烟霞、盘川、东湖等光伏电站长期试点运</w:t>
      </w:r>
      <w:proofErr w:type="gramStart"/>
      <w:r>
        <w:t>维经验</w:t>
      </w:r>
      <w:proofErr w:type="gramEnd"/>
      <w:r>
        <w:t>为基础，整合 600 余</w:t>
      </w:r>
      <w:proofErr w:type="gramStart"/>
      <w:r>
        <w:t>处设备</w:t>
      </w:r>
      <w:proofErr w:type="gramEnd"/>
      <w:r>
        <w:t>缺陷治理、</w:t>
      </w:r>
      <w:r>
        <w:t>“</w:t>
      </w:r>
      <w:r>
        <w:t>无人值守</w:t>
      </w:r>
      <w:r>
        <w:t>”</w:t>
      </w:r>
      <w:r>
        <w:t xml:space="preserve"> 场站建设等实践成果，确保技术要求和量化指标具备实践支撑。结合运</w:t>
      </w:r>
      <w:proofErr w:type="gramStart"/>
      <w:r>
        <w:t>维工具</w:t>
      </w:r>
      <w:proofErr w:type="gramEnd"/>
      <w:r>
        <w:t>适用性试验、故障模拟诊断试验等专项研究，通过科学分析验证，使标准内容既符合技术规律，又能指导</w:t>
      </w:r>
      <w:proofErr w:type="gramStart"/>
      <w:r>
        <w:t>实际运</w:t>
      </w:r>
      <w:proofErr w:type="gramEnd"/>
      <w:r>
        <w:t>维作业。</w:t>
      </w:r>
    </w:p>
    <w:p w14:paraId="41EE9875" w14:textId="77777777" w:rsidR="008F715F" w:rsidRDefault="007A3A4B">
      <w:pPr>
        <w:pStyle w:val="ae"/>
        <w:spacing w:beforeLines="50" w:before="156" w:afterLines="50" w:after="156" w:line="360" w:lineRule="auto"/>
      </w:pPr>
      <w:r>
        <w:t>2.2 实用性</w:t>
      </w:r>
    </w:p>
    <w:p w14:paraId="795B9E89" w14:textId="77777777" w:rsidR="008F715F" w:rsidRDefault="007A3A4B">
      <w:pPr>
        <w:pStyle w:val="aa"/>
        <w:spacing w:line="360" w:lineRule="auto"/>
      </w:pPr>
      <w:r>
        <w:t>针对西北沙尘区、南方多雨区、东部沿海盐雾区等不同气候区特点，制定</w:t>
      </w:r>
      <w:proofErr w:type="gramStart"/>
      <w:r>
        <w:t>差异化运维</w:t>
      </w:r>
      <w:proofErr w:type="gramEnd"/>
      <w:r>
        <w:t>要求。聚焦人员资质、工具配置、安全操作、故障处理等核心环节，明确具体要求，避免冗余条款，确保标准可操作性强，能直接解决运</w:t>
      </w:r>
      <w:proofErr w:type="gramStart"/>
      <w:r>
        <w:t>维实际</w:t>
      </w:r>
      <w:proofErr w:type="gramEnd"/>
      <w:r>
        <w:t>问题。</w:t>
      </w:r>
    </w:p>
    <w:p w14:paraId="4ADDEC66" w14:textId="77777777" w:rsidR="008F715F" w:rsidRDefault="007A3A4B">
      <w:pPr>
        <w:pStyle w:val="ae"/>
        <w:spacing w:beforeLines="50" w:before="156" w:afterLines="50" w:after="156" w:line="360" w:lineRule="auto"/>
      </w:pPr>
      <w:r>
        <w:lastRenderedPageBreak/>
        <w:t>2.3 协调性</w:t>
      </w:r>
    </w:p>
    <w:p w14:paraId="3EC2DDFF" w14:textId="1BC667E9" w:rsidR="008F715F" w:rsidRDefault="007A3A4B">
      <w:pPr>
        <w:pStyle w:val="aa"/>
        <w:spacing w:line="360" w:lineRule="auto"/>
      </w:pPr>
      <w:r>
        <w:t>严格遵循《中华人民共和国安全生产法》《中华人民共和国标准化法》等法律法规，全面衔接</w:t>
      </w:r>
      <w:r w:rsidR="00647A61" w:rsidRPr="00647A61">
        <w:t xml:space="preserve"> GB 5226.1、GB/T 44264、GB/T 45166、DL/T 5027、DL/T 1610、DL/T 1637</w:t>
      </w:r>
      <w:r>
        <w:t>等现有标准技术要求，保障标准体系协调性。统一核心术语定义、运</w:t>
      </w:r>
      <w:proofErr w:type="gramStart"/>
      <w:r>
        <w:t>维记录</w:t>
      </w:r>
      <w:proofErr w:type="gramEnd"/>
      <w:r>
        <w:t>格式、故障分级标准等关键内容，实现行业认知与操作统一。</w:t>
      </w:r>
    </w:p>
    <w:p w14:paraId="54CB4A6A" w14:textId="77777777" w:rsidR="008F715F" w:rsidRDefault="007A3A4B">
      <w:pPr>
        <w:pStyle w:val="ae"/>
        <w:spacing w:beforeLines="50" w:before="156" w:afterLines="50" w:after="156" w:line="360" w:lineRule="auto"/>
      </w:pPr>
      <w:r>
        <w:t>2.4 安全性</w:t>
      </w:r>
    </w:p>
    <w:p w14:paraId="15F2A8FD" w14:textId="77777777" w:rsidR="008F715F" w:rsidRDefault="007A3A4B">
      <w:pPr>
        <w:pStyle w:val="aa"/>
        <w:spacing w:line="360" w:lineRule="auto"/>
      </w:pPr>
      <w:r>
        <w:t>将</w:t>
      </w:r>
      <w:proofErr w:type="gramStart"/>
      <w:r>
        <w:t>安全运</w:t>
      </w:r>
      <w:proofErr w:type="gramEnd"/>
      <w:r>
        <w:t>维贯穿全文，明确高危作业监护、电气安全操作、应急处置等规范，构建全方位安全保障体系，降低设备故障导致的安全事故发生率。兼顾光</w:t>
      </w:r>
      <w:proofErr w:type="gramStart"/>
      <w:r>
        <w:t>伏运维技术</w:t>
      </w:r>
      <w:proofErr w:type="gramEnd"/>
      <w:r>
        <w:t>发展趋势，预留设备升级优化、新型故障诊断技术应用等条款，确保标准适应行业技术进步。</w:t>
      </w:r>
    </w:p>
    <w:p w14:paraId="1949BBA4" w14:textId="77777777" w:rsidR="008F715F" w:rsidRDefault="007A3A4B">
      <w:pPr>
        <w:pStyle w:val="11"/>
        <w:spacing w:before="312" w:after="312" w:line="360" w:lineRule="auto"/>
        <w:rPr>
          <w:rFonts w:ascii="宋体" w:hAnsi="宋体" w:hint="eastAsia"/>
          <w:szCs w:val="21"/>
        </w:rPr>
      </w:pPr>
      <w:bookmarkStart w:id="28" w:name="_Toc513731112"/>
      <w:r>
        <w:rPr>
          <w:rFonts w:ascii="宋体" w:hAnsi="宋体" w:hint="eastAsia"/>
          <w:szCs w:val="21"/>
        </w:rPr>
        <w:t>3</w:t>
      </w:r>
      <w:r>
        <w:rPr>
          <w:rFonts w:ascii="宋体" w:hAnsi="宋体" w:hint="eastAsia"/>
          <w:szCs w:val="21"/>
        </w:rPr>
        <w:t>主要工作过程</w:t>
      </w:r>
      <w:bookmarkEnd w:id="28"/>
    </w:p>
    <w:p w14:paraId="3E51AA30" w14:textId="77777777" w:rsidR="00E966A1" w:rsidRDefault="00E966A1" w:rsidP="00E57BDF">
      <w:pPr>
        <w:pStyle w:val="ae"/>
        <w:spacing w:beforeLines="50" w:before="156" w:afterLines="50" w:after="156"/>
      </w:pPr>
      <w:r>
        <w:rPr>
          <w:rFonts w:hint="eastAsia"/>
        </w:rPr>
        <w:t>3.1 立项阶段</w:t>
      </w:r>
    </w:p>
    <w:p w14:paraId="5DFADB83" w14:textId="5DE1A2E7" w:rsidR="00E966A1" w:rsidRDefault="00E966A1" w:rsidP="00E966A1">
      <w:pPr>
        <w:pStyle w:val="aa"/>
        <w:spacing w:line="360" w:lineRule="auto"/>
      </w:pPr>
      <w:r>
        <w:rPr>
          <w:rFonts w:hint="eastAsia"/>
        </w:rPr>
        <w:t>2025年11月初，大唐陕西发电有限公司新能源分公司牵头，联合大唐定边风力发电有限责任公司、大唐澄城风力发电有限责任公司、深圳江</w:t>
      </w:r>
      <w:proofErr w:type="gramStart"/>
      <w:r>
        <w:rPr>
          <w:rFonts w:hint="eastAsia"/>
        </w:rPr>
        <w:t>行联加智能</w:t>
      </w:r>
      <w:proofErr w:type="gramEnd"/>
      <w:r>
        <w:rPr>
          <w:rFonts w:hint="eastAsia"/>
        </w:rPr>
        <w:t>科技有限公司、广东科凯达智能机器人有限公司等单位，组织行业技术专家成立预研小组，系统开展光伏电站巡检清洁一体化设备运维现状、痛点问题、标准空白及行业需求调研，梳理国内外相关政策法规、标准文件及试点运维经验，多次召开专题研讨会，完成标准草案初稿起草并多轮优化，随后向中国电机工程学会提交标准立项申请。</w:t>
      </w:r>
    </w:p>
    <w:p w14:paraId="7BC415E4" w14:textId="737AB75D" w:rsidR="00E966A1" w:rsidRDefault="00E966A1" w:rsidP="00E966A1">
      <w:pPr>
        <w:pStyle w:val="aa"/>
        <w:spacing w:line="360" w:lineRule="auto"/>
      </w:pPr>
      <w:r>
        <w:rPr>
          <w:rFonts w:hint="eastAsia"/>
        </w:rPr>
        <w:t>2025年11月16日，参加智能电力设备与系统专委会组织的标准立项评审会，由牵头单位汇报标准立项必要性、研究内容及技术路线，顺利通过初步审核；会后编制组根据专家意见，对草案框架、核心条款进行细化完善。</w:t>
      </w:r>
    </w:p>
    <w:p w14:paraId="2C88BBD9" w14:textId="7726C30B" w:rsidR="00E966A1" w:rsidRDefault="00E966A1" w:rsidP="00E966A1">
      <w:pPr>
        <w:pStyle w:val="aa"/>
        <w:spacing w:line="360" w:lineRule="auto"/>
      </w:pPr>
      <w:r>
        <w:rPr>
          <w:rFonts w:hint="eastAsia"/>
        </w:rPr>
        <w:t>2025年12月11日，中国电机工程学会召开2025年第二批拟立项标准及送审稿审查会，对本标准草案进行二次审核，编制组根据评审意见进一步优化运维流程、故障分级、安全要求等核心内容。</w:t>
      </w:r>
    </w:p>
    <w:p w14:paraId="149B3C97" w14:textId="29ED9A5B" w:rsidR="00E966A1" w:rsidRDefault="00E966A1" w:rsidP="00E966A1">
      <w:pPr>
        <w:pStyle w:val="aa"/>
        <w:spacing w:line="360" w:lineRule="auto"/>
      </w:pPr>
      <w:r>
        <w:rPr>
          <w:rFonts w:hint="eastAsia"/>
        </w:rPr>
        <w:t>2025年12月25日，中国电机工程学会召开2025年第三次标准工作委员会会议，对第二批拟立项标准进行最终审议。经多级评审与修改完善，本</w:t>
      </w:r>
      <w:proofErr w:type="gramStart"/>
      <w:r>
        <w:rPr>
          <w:rFonts w:hint="eastAsia"/>
        </w:rPr>
        <w:t>标准获</w:t>
      </w:r>
      <w:proofErr w:type="gramEnd"/>
      <w:r>
        <w:rPr>
          <w:rFonts w:hint="eastAsia"/>
        </w:rPr>
        <w:t>批立项，中国电机工程学会以《关于印发“中国电机工程学会2025年标准计划（第二批）”的通知》（电机</w:t>
      </w:r>
      <w:proofErr w:type="gramStart"/>
      <w:r>
        <w:rPr>
          <w:rFonts w:hint="eastAsia"/>
        </w:rPr>
        <w:t>咨</w:t>
      </w:r>
      <w:proofErr w:type="gramEnd"/>
      <w:r>
        <w:rPr>
          <w:rFonts w:hint="eastAsia"/>
        </w:rPr>
        <w:t>〔2025〕738号）正式下达制定任务，</w:t>
      </w:r>
      <w:r w:rsidR="005A6EE3" w:rsidRPr="005A6EE3">
        <w:t>编号：20251119000</w:t>
      </w:r>
      <w:r w:rsidR="001211A9">
        <w:rPr>
          <w:rFonts w:hint="eastAsia"/>
        </w:rPr>
        <w:t>2</w:t>
      </w:r>
      <w:r>
        <w:rPr>
          <w:rFonts w:hint="eastAsia"/>
        </w:rPr>
        <w:t>，标志本标准进入正式起草阶段。</w:t>
      </w:r>
    </w:p>
    <w:p w14:paraId="22702EA5" w14:textId="77777777" w:rsidR="00E966A1" w:rsidRDefault="00E966A1" w:rsidP="00E57BDF">
      <w:pPr>
        <w:pStyle w:val="ae"/>
        <w:spacing w:beforeLines="50" w:before="156" w:afterLines="50" w:after="156"/>
      </w:pPr>
      <w:r>
        <w:rPr>
          <w:rFonts w:hint="eastAsia"/>
        </w:rPr>
        <w:lastRenderedPageBreak/>
        <w:t>3.2 起草阶段</w:t>
      </w:r>
    </w:p>
    <w:p w14:paraId="44BA35D9" w14:textId="0F197E70" w:rsidR="00E966A1" w:rsidRDefault="00E966A1" w:rsidP="00E966A1">
      <w:pPr>
        <w:pStyle w:val="aa"/>
        <w:spacing w:line="360" w:lineRule="auto"/>
      </w:pPr>
      <w:r>
        <w:rPr>
          <w:rFonts w:hint="eastAsia"/>
        </w:rPr>
        <w:t>2026年</w:t>
      </w:r>
      <w:r w:rsidR="002D4C97">
        <w:rPr>
          <w:rFonts w:hint="eastAsia"/>
        </w:rPr>
        <w:t>0</w:t>
      </w:r>
      <w:r>
        <w:rPr>
          <w:rFonts w:hint="eastAsia"/>
        </w:rPr>
        <w:t>1月，牵头单位正式组建标准编制工作组，明确各参编单位职责分工、核心任务及整体进度计划；同步开展标准化基础知识专项培训，提升编制人员业务能力；组织专业技术人员全面收集整理国内外运维标准、行业技术文献、试点运</w:t>
      </w:r>
      <w:proofErr w:type="gramStart"/>
      <w:r>
        <w:rPr>
          <w:rFonts w:hint="eastAsia"/>
        </w:rPr>
        <w:t>维数据及设备故障</w:t>
      </w:r>
      <w:proofErr w:type="gramEnd"/>
      <w:r>
        <w:rPr>
          <w:rFonts w:hint="eastAsia"/>
        </w:rPr>
        <w:t>案例，重点研究多气候区运维差异、故障诊断方法、应急处置流程等关键内容，为标准编制提供充分技术支撑。</w:t>
      </w:r>
    </w:p>
    <w:p w14:paraId="36B0B1BB" w14:textId="1B47617D" w:rsidR="00E966A1" w:rsidRDefault="00E966A1" w:rsidP="00E966A1">
      <w:pPr>
        <w:pStyle w:val="aa"/>
        <w:spacing w:line="360" w:lineRule="auto"/>
      </w:pPr>
      <w:r>
        <w:rPr>
          <w:rFonts w:hint="eastAsia"/>
        </w:rPr>
        <w:t>编制工作组结合调研成果、试点经验及专项试验数据，确定“运维基础条件、日常运维、定期运维、故障处理、评估与档案”五大核心研究方向，完成标准草案编制；期间多次组织行业研讨会，邀请电站运维、设备制造、检测机构等领域专家，逐章逐条研讨条款合理性、可操作性，针对运维周期、工具精度、故障分级、应急处置等关键条款开展专题论证，结合试验验证结果优化量化指标，形成标准讨论稿。</w:t>
      </w:r>
    </w:p>
    <w:p w14:paraId="339F1BFD" w14:textId="77777777" w:rsidR="00E966A1" w:rsidRDefault="00E966A1" w:rsidP="00E57BDF">
      <w:pPr>
        <w:pStyle w:val="ae"/>
        <w:spacing w:beforeLines="50" w:before="156" w:afterLines="50" w:after="156"/>
      </w:pPr>
      <w:r>
        <w:rPr>
          <w:rFonts w:hint="eastAsia"/>
        </w:rPr>
        <w:t>3.3 征求意见阶段</w:t>
      </w:r>
    </w:p>
    <w:p w14:paraId="7A019691" w14:textId="05BC459B" w:rsidR="00E966A1" w:rsidRDefault="00E966A1" w:rsidP="00E966A1">
      <w:pPr>
        <w:pStyle w:val="aa"/>
        <w:spacing w:line="360" w:lineRule="auto"/>
      </w:pPr>
      <w:r>
        <w:rPr>
          <w:rFonts w:hint="eastAsia"/>
        </w:rPr>
        <w:t>2026年</w:t>
      </w:r>
      <w:r w:rsidR="002D4C97">
        <w:rPr>
          <w:rFonts w:hint="eastAsia"/>
        </w:rPr>
        <w:t>0</w:t>
      </w:r>
      <w:r>
        <w:rPr>
          <w:rFonts w:hint="eastAsia"/>
        </w:rPr>
        <w:t>3月，编制工作组在标准讨论</w:t>
      </w:r>
      <w:proofErr w:type="gramStart"/>
      <w:r>
        <w:rPr>
          <w:rFonts w:hint="eastAsia"/>
        </w:rPr>
        <w:t>稿基础</w:t>
      </w:r>
      <w:proofErr w:type="gramEnd"/>
      <w:r>
        <w:rPr>
          <w:rFonts w:hint="eastAsia"/>
        </w:rPr>
        <w:t>上，结合试点应用验证数据、专家研讨意见及行业</w:t>
      </w:r>
      <w:proofErr w:type="gramStart"/>
      <w:r>
        <w:rPr>
          <w:rFonts w:hint="eastAsia"/>
        </w:rPr>
        <w:t>实际运</w:t>
      </w:r>
      <w:proofErr w:type="gramEnd"/>
      <w:r>
        <w:rPr>
          <w:rFonts w:hint="eastAsia"/>
        </w:rPr>
        <w:t>维需求，对条款进行全面梳理、完善与规范，完成《光伏电站太阳能板巡检清洁一体化设备运维技术规范》团体标准征求意见稿编制；同步编写标准编制说明，系统阐述编制背景、原则、工作过程、结构内容、相关标准对比及实施措施，确保编制说明与征求意见</w:t>
      </w:r>
      <w:proofErr w:type="gramStart"/>
      <w:r>
        <w:rPr>
          <w:rFonts w:hint="eastAsia"/>
        </w:rPr>
        <w:t>稿内容</w:t>
      </w:r>
      <w:proofErr w:type="gramEnd"/>
      <w:r>
        <w:rPr>
          <w:rFonts w:hint="eastAsia"/>
        </w:rPr>
        <w:t>一致、逻辑衔接。</w:t>
      </w:r>
    </w:p>
    <w:p w14:paraId="5A66AEB6" w14:textId="77777777" w:rsidR="001211A9" w:rsidRDefault="001211A9" w:rsidP="001211A9">
      <w:pPr>
        <w:pStyle w:val="aa"/>
        <w:spacing w:line="360" w:lineRule="auto"/>
      </w:pPr>
    </w:p>
    <w:p w14:paraId="7FAF9E1E" w14:textId="2613A326" w:rsidR="00E966A1" w:rsidRDefault="00E966A1" w:rsidP="00E57BDF">
      <w:pPr>
        <w:pStyle w:val="ae"/>
        <w:spacing w:beforeLines="50" w:before="156" w:afterLines="50" w:after="156"/>
      </w:pPr>
      <w:r>
        <w:rPr>
          <w:rFonts w:hint="eastAsia"/>
        </w:rPr>
        <w:t>3.4 送审阶段</w:t>
      </w:r>
    </w:p>
    <w:p w14:paraId="1B68116B" w14:textId="77777777" w:rsidR="001211A9" w:rsidRDefault="001211A9" w:rsidP="00044B4B">
      <w:pPr>
        <w:pStyle w:val="aa"/>
      </w:pPr>
    </w:p>
    <w:p w14:paraId="55F9AF28" w14:textId="72AE14FD" w:rsidR="00E966A1" w:rsidRDefault="00E966A1" w:rsidP="00E57BDF">
      <w:pPr>
        <w:pStyle w:val="ae"/>
        <w:spacing w:beforeLines="50" w:before="156" w:afterLines="50" w:after="156"/>
      </w:pPr>
      <w:r>
        <w:rPr>
          <w:rFonts w:hint="eastAsia"/>
        </w:rPr>
        <w:t>3.5 报批阶段</w:t>
      </w:r>
    </w:p>
    <w:p w14:paraId="0A6D800E" w14:textId="77777777" w:rsidR="001211A9" w:rsidRPr="001211A9" w:rsidRDefault="001211A9" w:rsidP="001211A9">
      <w:pPr>
        <w:pStyle w:val="aa"/>
      </w:pPr>
    </w:p>
    <w:p w14:paraId="25F4DAC2" w14:textId="77777777" w:rsidR="008F715F" w:rsidRDefault="007A3A4B">
      <w:pPr>
        <w:pStyle w:val="11"/>
        <w:spacing w:before="312" w:after="312" w:line="360" w:lineRule="auto"/>
      </w:pPr>
      <w:bookmarkStart w:id="29" w:name="_Toc513731113"/>
      <w:r>
        <w:rPr>
          <w:rFonts w:ascii="宋体" w:hAnsi="宋体" w:hint="eastAsia"/>
          <w:szCs w:val="21"/>
        </w:rPr>
        <w:t>4</w:t>
      </w:r>
      <w:r>
        <w:rPr>
          <w:rFonts w:hint="eastAsia"/>
        </w:rPr>
        <w:t>标准结构和内容说明</w:t>
      </w:r>
      <w:bookmarkEnd w:id="29"/>
    </w:p>
    <w:p w14:paraId="66EC64DE" w14:textId="77777777" w:rsidR="008F715F" w:rsidRDefault="007A3A4B">
      <w:pPr>
        <w:pStyle w:val="ae"/>
        <w:spacing w:beforeLines="50" w:before="156" w:afterLines="50" w:after="156" w:line="360" w:lineRule="auto"/>
      </w:pPr>
      <w:r>
        <w:rPr>
          <w:rFonts w:hint="eastAsia"/>
        </w:rPr>
        <w:t>4.1研究内容的确定和说明</w:t>
      </w:r>
    </w:p>
    <w:p w14:paraId="2235671D" w14:textId="77777777" w:rsidR="00E966A1" w:rsidRDefault="00E966A1" w:rsidP="00E966A1">
      <w:pPr>
        <w:pStyle w:val="aa"/>
        <w:spacing w:line="360" w:lineRule="auto"/>
      </w:pPr>
      <w:r>
        <w:rPr>
          <w:rFonts w:hint="eastAsia"/>
        </w:rPr>
        <w:t>本标准研究内容基于行业运维痛点、试点实践支撑、标准体系衔接三大核心依据确定，聚焦光伏电站巡检清洁一体化设备运维全流程标准化，填补行业运维专项标准空白。核心研究方向归纳为四大类：</w:t>
      </w:r>
    </w:p>
    <w:p w14:paraId="75C17B81" w14:textId="77777777" w:rsidR="00E966A1" w:rsidRDefault="00E966A1" w:rsidP="00E966A1">
      <w:pPr>
        <w:pStyle w:val="aa"/>
        <w:spacing w:line="360" w:lineRule="auto"/>
        <w:ind w:firstLine="422"/>
      </w:pPr>
      <w:r w:rsidRPr="001211A9">
        <w:rPr>
          <w:rFonts w:hint="eastAsia"/>
          <w:b/>
          <w:bCs/>
        </w:rPr>
        <w:lastRenderedPageBreak/>
        <w:t>运</w:t>
      </w:r>
      <w:proofErr w:type="gramStart"/>
      <w:r w:rsidRPr="001211A9">
        <w:rPr>
          <w:rFonts w:hint="eastAsia"/>
          <w:b/>
          <w:bCs/>
        </w:rPr>
        <w:t>维基础</w:t>
      </w:r>
      <w:proofErr w:type="gramEnd"/>
      <w:r w:rsidRPr="001211A9">
        <w:rPr>
          <w:rFonts w:hint="eastAsia"/>
          <w:b/>
          <w:bCs/>
        </w:rPr>
        <w:t>条件规范化研究：</w:t>
      </w:r>
      <w:r>
        <w:rPr>
          <w:rFonts w:hint="eastAsia"/>
        </w:rPr>
        <w:t>针对运</w:t>
      </w:r>
      <w:proofErr w:type="gramStart"/>
      <w:r>
        <w:rPr>
          <w:rFonts w:hint="eastAsia"/>
        </w:rPr>
        <w:t>维人员</w:t>
      </w:r>
      <w:proofErr w:type="gramEnd"/>
      <w:r>
        <w:rPr>
          <w:rFonts w:hint="eastAsia"/>
        </w:rPr>
        <w:t>资质不统一、工具配置不达标、安全操作不规范、环境适配措施缺失等问题，明确人员持证要求、工具技术参数、安全操作流程及不同气候区</w:t>
      </w:r>
      <w:proofErr w:type="gramStart"/>
      <w:r>
        <w:rPr>
          <w:rFonts w:hint="eastAsia"/>
        </w:rPr>
        <w:t>差异化运维</w:t>
      </w:r>
      <w:proofErr w:type="gramEnd"/>
      <w:r>
        <w:rPr>
          <w:rFonts w:hint="eastAsia"/>
        </w:rPr>
        <w:t>措施，筑牢运</w:t>
      </w:r>
      <w:proofErr w:type="gramStart"/>
      <w:r>
        <w:rPr>
          <w:rFonts w:hint="eastAsia"/>
        </w:rPr>
        <w:t>维基础</w:t>
      </w:r>
      <w:proofErr w:type="gramEnd"/>
      <w:r>
        <w:rPr>
          <w:rFonts w:hint="eastAsia"/>
        </w:rPr>
        <w:t>保障。</w:t>
      </w:r>
    </w:p>
    <w:p w14:paraId="1AABF801" w14:textId="59358A58" w:rsidR="00E966A1" w:rsidRDefault="00E966A1" w:rsidP="00E966A1">
      <w:pPr>
        <w:pStyle w:val="aa"/>
        <w:spacing w:line="360" w:lineRule="auto"/>
        <w:ind w:firstLine="422"/>
      </w:pPr>
      <w:r w:rsidRPr="001211A9">
        <w:rPr>
          <w:rFonts w:hint="eastAsia"/>
          <w:b/>
          <w:bCs/>
        </w:rPr>
        <w:t>运维流程标准化研究：</w:t>
      </w:r>
      <w:r>
        <w:rPr>
          <w:rFonts w:hint="eastAsia"/>
        </w:rPr>
        <w:t>结合设备运行规律与行业实践，构建“日常巡检+周维护+月/季/半年/年定期运维”的分级运维体系，细化各阶段检查项目、技术要求、量化指标及操作方法，解决运维周期混乱、内容随意等问题。</w:t>
      </w:r>
    </w:p>
    <w:p w14:paraId="525606D1" w14:textId="77777777" w:rsidR="00E966A1" w:rsidRDefault="00E966A1" w:rsidP="00E966A1">
      <w:pPr>
        <w:pStyle w:val="aa"/>
        <w:spacing w:line="360" w:lineRule="auto"/>
        <w:ind w:firstLine="422"/>
      </w:pPr>
      <w:r w:rsidRPr="001211A9">
        <w:rPr>
          <w:rFonts w:hint="eastAsia"/>
          <w:b/>
          <w:bCs/>
        </w:rPr>
        <w:t>故障处置精准化研究：</w:t>
      </w:r>
      <w:r>
        <w:rPr>
          <w:rFonts w:hint="eastAsia"/>
        </w:rPr>
        <w:t>针对故障分级不清、诊断方法单一、处理流程不规范、应急处置能力不足等痛点，建立一、二级故障分级标准，明确目视、仪器、数据三类诊断方法，规范常见故障处理流程及电气火灾、设备倾覆、极端天气等应急处置要求，提升故障处理效率与安全性。</w:t>
      </w:r>
    </w:p>
    <w:p w14:paraId="48B3E9B0" w14:textId="6C85997A" w:rsidR="008F715F" w:rsidRDefault="00E966A1" w:rsidP="00E966A1">
      <w:pPr>
        <w:pStyle w:val="aa"/>
        <w:spacing w:line="360" w:lineRule="auto"/>
        <w:ind w:firstLine="422"/>
      </w:pPr>
      <w:r w:rsidRPr="001211A9">
        <w:rPr>
          <w:rFonts w:hint="eastAsia"/>
          <w:b/>
          <w:bCs/>
        </w:rPr>
        <w:t>运维管理系统化研究：</w:t>
      </w:r>
      <w:r>
        <w:rPr>
          <w:rFonts w:hint="eastAsia"/>
        </w:rPr>
        <w:t>为保障运</w:t>
      </w:r>
      <w:proofErr w:type="gramStart"/>
      <w:r>
        <w:rPr>
          <w:rFonts w:hint="eastAsia"/>
        </w:rPr>
        <w:t>维质量</w:t>
      </w:r>
      <w:proofErr w:type="gramEnd"/>
      <w:r>
        <w:rPr>
          <w:rFonts w:hint="eastAsia"/>
        </w:rPr>
        <w:t>可追溯、效果可评估，</w:t>
      </w:r>
      <w:proofErr w:type="gramStart"/>
      <w:r>
        <w:rPr>
          <w:rFonts w:hint="eastAsia"/>
        </w:rPr>
        <w:t>明确运维效果</w:t>
      </w:r>
      <w:proofErr w:type="gramEnd"/>
      <w:r>
        <w:rPr>
          <w:rFonts w:hint="eastAsia"/>
        </w:rPr>
        <w:t>评估指标与方法，规范运</w:t>
      </w:r>
      <w:proofErr w:type="gramStart"/>
      <w:r>
        <w:rPr>
          <w:rFonts w:hint="eastAsia"/>
        </w:rPr>
        <w:t>维记录</w:t>
      </w:r>
      <w:proofErr w:type="gramEnd"/>
      <w:r>
        <w:rPr>
          <w:rFonts w:hint="eastAsia"/>
        </w:rPr>
        <w:t>内容、格式及档案管理要求，构建完整的运</w:t>
      </w:r>
      <w:proofErr w:type="gramStart"/>
      <w:r>
        <w:rPr>
          <w:rFonts w:hint="eastAsia"/>
        </w:rPr>
        <w:t>维管理</w:t>
      </w:r>
      <w:proofErr w:type="gramEnd"/>
      <w:r>
        <w:rPr>
          <w:rFonts w:hint="eastAsia"/>
        </w:rPr>
        <w:t>闭环，支撑设备全生命周期高效运维</w:t>
      </w:r>
      <w:r w:rsidR="007A3A4B">
        <w:t>。</w:t>
      </w:r>
    </w:p>
    <w:p w14:paraId="3918E9A4" w14:textId="77777777" w:rsidR="008F715F" w:rsidRDefault="007A3A4B">
      <w:pPr>
        <w:pStyle w:val="ae"/>
        <w:spacing w:beforeLines="50" w:before="156" w:afterLines="50" w:after="156" w:line="360" w:lineRule="auto"/>
      </w:pPr>
      <w:r>
        <w:rPr>
          <w:rFonts w:hint="eastAsia"/>
        </w:rPr>
        <w:t>4.2主要内容的试验、验证及论述情况</w:t>
      </w:r>
    </w:p>
    <w:p w14:paraId="18C979F8" w14:textId="77777777" w:rsidR="00E966A1" w:rsidRDefault="00E966A1" w:rsidP="00E966A1">
      <w:pPr>
        <w:pStyle w:val="aa"/>
        <w:spacing w:line="360" w:lineRule="auto"/>
      </w:pPr>
      <w:r>
        <w:rPr>
          <w:rFonts w:hint="eastAsia"/>
        </w:rPr>
        <w:t>为确保标准条款科学性、实用性、可操作性，编制组依托烟霞、盘川、东湖等光伏电站试点运维经验，开展五大类专项试验验证，核心内容如下：</w:t>
      </w:r>
    </w:p>
    <w:p w14:paraId="0458E049" w14:textId="0F381FED" w:rsidR="00E966A1" w:rsidRDefault="00E966A1" w:rsidP="00E966A1">
      <w:pPr>
        <w:pStyle w:val="aa"/>
        <w:spacing w:line="360" w:lineRule="auto"/>
      </w:pPr>
      <w:r>
        <w:rPr>
          <w:rFonts w:hint="eastAsia"/>
        </w:rPr>
        <w:t>（1）</w:t>
      </w:r>
      <w:r w:rsidRPr="001211A9">
        <w:rPr>
          <w:rFonts w:hint="eastAsia"/>
          <w:b/>
          <w:bCs/>
        </w:rPr>
        <w:t>运</w:t>
      </w:r>
      <w:proofErr w:type="gramStart"/>
      <w:r w:rsidRPr="001211A9">
        <w:rPr>
          <w:rFonts w:hint="eastAsia"/>
          <w:b/>
          <w:bCs/>
        </w:rPr>
        <w:t>维工具</w:t>
      </w:r>
      <w:proofErr w:type="gramEnd"/>
      <w:r w:rsidRPr="001211A9">
        <w:rPr>
          <w:rFonts w:hint="eastAsia"/>
          <w:b/>
          <w:bCs/>
        </w:rPr>
        <w:t>适用性试验：</w:t>
      </w:r>
      <w:r>
        <w:rPr>
          <w:rFonts w:hint="eastAsia"/>
        </w:rPr>
        <w:t>对绝缘电阻表、扭矩扳手、坐标测量仪、透光率仪等核心运</w:t>
      </w:r>
      <w:proofErr w:type="gramStart"/>
      <w:r>
        <w:rPr>
          <w:rFonts w:hint="eastAsia"/>
        </w:rPr>
        <w:t>维工具</w:t>
      </w:r>
      <w:proofErr w:type="gramEnd"/>
      <w:r>
        <w:rPr>
          <w:rFonts w:hint="eastAsia"/>
        </w:rPr>
        <w:t>开展精度测试与校准周期验证，确定1年校准周期的合理性，确保工具检测数据准确可靠。</w:t>
      </w:r>
    </w:p>
    <w:p w14:paraId="60A1050B" w14:textId="7CD15A57" w:rsidR="00E966A1" w:rsidRDefault="00E966A1" w:rsidP="00E966A1">
      <w:pPr>
        <w:pStyle w:val="aa"/>
        <w:spacing w:line="360" w:lineRule="auto"/>
      </w:pPr>
      <w:r>
        <w:rPr>
          <w:rFonts w:hint="eastAsia"/>
        </w:rPr>
        <w:t>（2）</w:t>
      </w:r>
      <w:r w:rsidRPr="001211A9">
        <w:rPr>
          <w:rFonts w:hint="eastAsia"/>
          <w:b/>
          <w:bCs/>
        </w:rPr>
        <w:t>运维周期有效性试验：</w:t>
      </w:r>
      <w:r>
        <w:rPr>
          <w:rFonts w:hint="eastAsia"/>
        </w:rPr>
        <w:t>跟踪西北沙尘区、南方多雨区、东部沿海盐雾区等不同气候区设备长期运行数据，对比不同运维频次下设备故障发生率、清洁巡检效果，优化确定日/周/月/季/半年/年分级运维周期及对应内容，兼顾运</w:t>
      </w:r>
      <w:proofErr w:type="gramStart"/>
      <w:r>
        <w:rPr>
          <w:rFonts w:hint="eastAsia"/>
        </w:rPr>
        <w:t>维成本</w:t>
      </w:r>
      <w:proofErr w:type="gramEnd"/>
      <w:r>
        <w:rPr>
          <w:rFonts w:hint="eastAsia"/>
        </w:rPr>
        <w:t>与设备可靠性。</w:t>
      </w:r>
    </w:p>
    <w:p w14:paraId="1C4B5D80" w14:textId="054A773A" w:rsidR="00E966A1" w:rsidRDefault="00E966A1" w:rsidP="00E966A1">
      <w:pPr>
        <w:pStyle w:val="aa"/>
        <w:spacing w:line="360" w:lineRule="auto"/>
      </w:pPr>
      <w:r>
        <w:rPr>
          <w:rFonts w:hint="eastAsia"/>
        </w:rPr>
        <w:t>（3）</w:t>
      </w:r>
      <w:r w:rsidRPr="001211A9">
        <w:rPr>
          <w:rFonts w:hint="eastAsia"/>
          <w:b/>
          <w:bCs/>
        </w:rPr>
        <w:t>故障模拟与诊断试验：</w:t>
      </w:r>
      <w:r>
        <w:rPr>
          <w:rFonts w:hint="eastAsia"/>
        </w:rPr>
        <w:t>模拟电机过载、防护膜破损、喷管堵塞、数据传输延迟、巡检数据偏差等10余种常见故障，验证目视、仪器、数据三类诊断方法的准确率，明确不同故障对应的诊断路径与判定标准。</w:t>
      </w:r>
    </w:p>
    <w:p w14:paraId="124EBD90" w14:textId="77777777" w:rsidR="00E966A1" w:rsidRDefault="00E966A1" w:rsidP="00E966A1">
      <w:pPr>
        <w:pStyle w:val="aa"/>
        <w:spacing w:line="360" w:lineRule="auto"/>
      </w:pPr>
      <w:r>
        <w:rPr>
          <w:rFonts w:hint="eastAsia"/>
        </w:rPr>
        <w:t>（4）</w:t>
      </w:r>
      <w:r w:rsidRPr="001211A9">
        <w:rPr>
          <w:rFonts w:hint="eastAsia"/>
          <w:b/>
          <w:bCs/>
        </w:rPr>
        <w:t>应急处置实操验证：</w:t>
      </w:r>
      <w:r>
        <w:rPr>
          <w:rFonts w:hint="eastAsia"/>
        </w:rPr>
        <w:t>开展电气火灾、设备倾覆、人员受伤、极端天气等应急演练，优化处置流程、明确操作要点与安全要求，确保应急处置快速、规范、安全。</w:t>
      </w:r>
    </w:p>
    <w:p w14:paraId="71CAEA6B" w14:textId="77777777" w:rsidR="00E966A1" w:rsidRDefault="00E966A1" w:rsidP="00E966A1">
      <w:pPr>
        <w:pStyle w:val="aa"/>
        <w:spacing w:line="360" w:lineRule="auto"/>
      </w:pPr>
      <w:r>
        <w:rPr>
          <w:rFonts w:hint="eastAsia"/>
        </w:rPr>
        <w:t>（5）</w:t>
      </w:r>
      <w:r w:rsidRPr="001211A9">
        <w:rPr>
          <w:rFonts w:hint="eastAsia"/>
          <w:b/>
          <w:bCs/>
        </w:rPr>
        <w:t>环境适应性测试：</w:t>
      </w:r>
      <w:r>
        <w:rPr>
          <w:rFonts w:hint="eastAsia"/>
        </w:rPr>
        <w:t>针对沙尘、多雨、沿海盐雾等典型气候环境，测试设备防尘、防水、防腐蚀性能，制定</w:t>
      </w:r>
      <w:proofErr w:type="gramStart"/>
      <w:r>
        <w:rPr>
          <w:rFonts w:hint="eastAsia"/>
        </w:rPr>
        <w:t>差异化运维</w:t>
      </w:r>
      <w:proofErr w:type="gramEnd"/>
      <w:r>
        <w:rPr>
          <w:rFonts w:hint="eastAsia"/>
        </w:rPr>
        <w:t>措施，保障设备在不同场景下稳定运行。</w:t>
      </w:r>
    </w:p>
    <w:p w14:paraId="7C665012" w14:textId="490FC3D3" w:rsidR="008F715F" w:rsidRDefault="00E966A1" w:rsidP="00E966A1">
      <w:pPr>
        <w:pStyle w:val="aa"/>
        <w:spacing w:line="360" w:lineRule="auto"/>
      </w:pPr>
      <w:r>
        <w:rPr>
          <w:rFonts w:hint="eastAsia"/>
        </w:rPr>
        <w:lastRenderedPageBreak/>
        <w:t>试点应用结果显示：按本标准开展运维后，设备故障发生率降低60%以上，运维效率提升40%，清洁后太阳能板残留灰尘≤3g/m²，隐裂识别准确率≥98%，80%区域实现</w:t>
      </w:r>
      <w:proofErr w:type="gramStart"/>
      <w:r>
        <w:rPr>
          <w:rFonts w:hint="eastAsia"/>
        </w:rPr>
        <w:t>无人化运</w:t>
      </w:r>
      <w:proofErr w:type="gramEnd"/>
      <w:r>
        <w:rPr>
          <w:rFonts w:hint="eastAsia"/>
        </w:rPr>
        <w:t>维，各项指标满足行业预期，具备大规模推广价值</w:t>
      </w:r>
      <w:r w:rsidR="007A3A4B">
        <w:t>。</w:t>
      </w:r>
    </w:p>
    <w:p w14:paraId="7C1ACEBA" w14:textId="77777777" w:rsidR="008F715F" w:rsidRDefault="007A3A4B">
      <w:pPr>
        <w:pStyle w:val="ae"/>
        <w:spacing w:beforeLines="50" w:before="156" w:afterLines="50" w:after="156" w:line="360" w:lineRule="auto"/>
      </w:pPr>
      <w:r>
        <w:rPr>
          <w:rFonts w:hint="eastAsia"/>
        </w:rPr>
        <w:t>4.3主要内容及条款的说明</w:t>
      </w:r>
    </w:p>
    <w:p w14:paraId="2B79B014" w14:textId="77777777" w:rsidR="008F715F" w:rsidRDefault="007A3A4B">
      <w:pPr>
        <w:pStyle w:val="aa"/>
        <w:spacing w:line="360" w:lineRule="auto"/>
      </w:pPr>
      <w:r>
        <w:rPr>
          <w:rFonts w:hint="eastAsia"/>
        </w:rPr>
        <w:t>本标准共设9个章节，各章节核心内容及条款的设计逻辑如下：</w:t>
      </w:r>
    </w:p>
    <w:p w14:paraId="7664C881" w14:textId="77777777" w:rsidR="008F715F" w:rsidRDefault="007A3A4B">
      <w:pPr>
        <w:pStyle w:val="af0"/>
        <w:spacing w:line="360" w:lineRule="auto"/>
        <w:ind w:firstLine="422"/>
        <w:rPr>
          <w:b/>
          <w:bCs/>
        </w:rPr>
      </w:pPr>
      <w:r>
        <w:rPr>
          <w:rFonts w:hint="eastAsia"/>
          <w:b/>
          <w:bCs/>
        </w:rPr>
        <w:t>范围</w:t>
      </w:r>
    </w:p>
    <w:p w14:paraId="136CE385" w14:textId="77777777" w:rsidR="008F715F" w:rsidRDefault="007A3A4B">
      <w:pPr>
        <w:pStyle w:val="af0"/>
        <w:spacing w:line="360" w:lineRule="auto"/>
        <w:ind w:firstLine="420"/>
        <w:rPr>
          <w:rFonts w:ascii="Segoe UI" w:hAnsi="Segoe UI" w:cs="Segoe UI"/>
          <w:shd w:val="clear" w:color="auto" w:fill="FFFFFF"/>
        </w:rPr>
      </w:pPr>
      <w:r>
        <w:rPr>
          <w:rFonts w:ascii="Segoe UI" w:hAnsi="Segoe UI" w:cs="Segoe UI"/>
          <w:shd w:val="clear" w:color="auto" w:fill="FFFFFF"/>
        </w:rPr>
        <w:t>本文件规定了光伏电站太阳能板巡检清洁一体化设备的运</w:t>
      </w:r>
      <w:proofErr w:type="gramStart"/>
      <w:r>
        <w:rPr>
          <w:rFonts w:ascii="Segoe UI" w:hAnsi="Segoe UI" w:cs="Segoe UI"/>
          <w:shd w:val="clear" w:color="auto" w:fill="FFFFFF"/>
        </w:rPr>
        <w:t>维基本</w:t>
      </w:r>
      <w:proofErr w:type="gramEnd"/>
      <w:r>
        <w:rPr>
          <w:rFonts w:ascii="Segoe UI" w:hAnsi="Segoe UI" w:cs="Segoe UI"/>
          <w:shd w:val="clear" w:color="auto" w:fill="FFFFFF"/>
        </w:rPr>
        <w:t>要求、日常运维、定期运维、故障诊断与处理、运</w:t>
      </w:r>
      <w:proofErr w:type="gramStart"/>
      <w:r>
        <w:rPr>
          <w:rFonts w:ascii="Segoe UI" w:hAnsi="Segoe UI" w:cs="Segoe UI"/>
          <w:shd w:val="clear" w:color="auto" w:fill="FFFFFF"/>
        </w:rPr>
        <w:t>维记录</w:t>
      </w:r>
      <w:proofErr w:type="gramEnd"/>
      <w:r>
        <w:rPr>
          <w:rFonts w:ascii="Segoe UI" w:hAnsi="Segoe UI" w:cs="Segoe UI"/>
          <w:shd w:val="clear" w:color="auto" w:fill="FFFFFF"/>
        </w:rPr>
        <w:t>与档案管理等内容。</w:t>
      </w:r>
    </w:p>
    <w:p w14:paraId="53611319" w14:textId="38C996FD" w:rsidR="008F715F" w:rsidRDefault="007A3A4B">
      <w:pPr>
        <w:pStyle w:val="af0"/>
        <w:spacing w:line="360" w:lineRule="auto"/>
        <w:ind w:firstLine="420"/>
      </w:pPr>
      <w:r>
        <w:rPr>
          <w:rFonts w:ascii="Segoe UI" w:hAnsi="Segoe UI" w:cs="Segoe UI"/>
          <w:shd w:val="clear" w:color="auto" w:fill="FFFFFF"/>
        </w:rPr>
        <w:t>本文件适用于依托光伏电站太阳能板阵列运行，集成</w:t>
      </w:r>
      <w:r>
        <w:rPr>
          <w:rFonts w:ascii="Segoe UI" w:hAnsi="Segoe UI" w:cs="Segoe UI"/>
          <w:shd w:val="clear" w:color="auto" w:fill="FFFFFF"/>
        </w:rPr>
        <w:t>“</w:t>
      </w:r>
      <w:r>
        <w:rPr>
          <w:rFonts w:ascii="Segoe UI" w:hAnsi="Segoe UI" w:cs="Segoe UI"/>
          <w:shd w:val="clear" w:color="auto" w:fill="FFFFFF"/>
        </w:rPr>
        <w:t>巡检</w:t>
      </w:r>
      <w:r>
        <w:rPr>
          <w:rFonts w:ascii="Segoe UI" w:hAnsi="Segoe UI" w:cs="Segoe UI"/>
          <w:shd w:val="clear" w:color="auto" w:fill="FFFFFF"/>
        </w:rPr>
        <w:t>+</w:t>
      </w:r>
      <w:r>
        <w:rPr>
          <w:rFonts w:ascii="Segoe UI" w:hAnsi="Segoe UI" w:cs="Segoe UI"/>
          <w:shd w:val="clear" w:color="auto" w:fill="FFFFFF"/>
        </w:rPr>
        <w:t>清洁</w:t>
      </w:r>
      <w:r>
        <w:rPr>
          <w:rFonts w:ascii="Segoe UI" w:hAnsi="Segoe UI" w:cs="Segoe UI"/>
          <w:shd w:val="clear" w:color="auto" w:fill="FFFFFF"/>
        </w:rPr>
        <w:t>+</w:t>
      </w:r>
      <w:r>
        <w:rPr>
          <w:rFonts w:ascii="Segoe UI" w:hAnsi="Segoe UI" w:cs="Segoe UI"/>
          <w:shd w:val="clear" w:color="auto" w:fill="FFFFFF"/>
        </w:rPr>
        <w:t>防护</w:t>
      </w:r>
      <w:r>
        <w:rPr>
          <w:rFonts w:ascii="Segoe UI" w:hAnsi="Segoe UI" w:cs="Segoe UI"/>
          <w:shd w:val="clear" w:color="auto" w:fill="FFFFFF"/>
        </w:rPr>
        <w:t>”</w:t>
      </w:r>
      <w:r>
        <w:rPr>
          <w:rFonts w:ascii="Segoe UI" w:hAnsi="Segoe UI" w:cs="Segoe UI"/>
          <w:shd w:val="clear" w:color="auto" w:fill="FFFFFF"/>
        </w:rPr>
        <w:t>功能的一体化设备的运维作业，包括地面光</w:t>
      </w:r>
      <w:proofErr w:type="gramStart"/>
      <w:r>
        <w:rPr>
          <w:rFonts w:ascii="Segoe UI" w:hAnsi="Segoe UI" w:cs="Segoe UI"/>
          <w:shd w:val="clear" w:color="auto" w:fill="FFFFFF"/>
        </w:rPr>
        <w:t>伏</w:t>
      </w:r>
      <w:proofErr w:type="gramEnd"/>
      <w:r>
        <w:rPr>
          <w:rFonts w:ascii="Segoe UI" w:hAnsi="Segoe UI" w:cs="Segoe UI"/>
          <w:shd w:val="clear" w:color="auto" w:fill="FFFFFF"/>
        </w:rPr>
        <w:t>电站、工商业分布式光伏电站的设备运维；不适用于无人机巡检设备、独立式人工清洁</w:t>
      </w:r>
      <w:proofErr w:type="gramStart"/>
      <w:r>
        <w:rPr>
          <w:rFonts w:ascii="Segoe UI" w:hAnsi="Segoe UI" w:cs="Segoe UI"/>
          <w:shd w:val="clear" w:color="auto" w:fill="FFFFFF"/>
        </w:rPr>
        <w:t>工具及仅具备</w:t>
      </w:r>
      <w:proofErr w:type="gramEnd"/>
      <w:r>
        <w:rPr>
          <w:rFonts w:ascii="Segoe UI" w:hAnsi="Segoe UI" w:cs="Segoe UI"/>
          <w:shd w:val="clear" w:color="auto" w:fill="FFFFFF"/>
        </w:rPr>
        <w:t>单一巡检或清洁功能设备的运维</w:t>
      </w:r>
      <w:r w:rsidR="00CC7420">
        <w:rPr>
          <w:rFonts w:ascii="Segoe UI" w:hAnsi="Segoe UI" w:cs="Segoe UI" w:hint="eastAsia"/>
          <w:shd w:val="clear" w:color="auto" w:fill="FFFFFF"/>
        </w:rPr>
        <w:t>。</w:t>
      </w:r>
    </w:p>
    <w:p w14:paraId="4E267F3F" w14:textId="77777777" w:rsidR="008F715F" w:rsidRDefault="007A3A4B">
      <w:pPr>
        <w:pStyle w:val="af0"/>
        <w:spacing w:line="360" w:lineRule="auto"/>
        <w:ind w:firstLine="422"/>
        <w:rPr>
          <w:b/>
          <w:bCs/>
        </w:rPr>
      </w:pPr>
      <w:r>
        <w:rPr>
          <w:rFonts w:hint="eastAsia"/>
          <w:b/>
          <w:bCs/>
        </w:rPr>
        <w:t>规范性引用文件：</w:t>
      </w:r>
    </w:p>
    <w:p w14:paraId="43CE7142" w14:textId="77777777" w:rsidR="00044B4B" w:rsidRDefault="00044B4B" w:rsidP="00044B4B">
      <w:pPr>
        <w:pStyle w:val="af0"/>
        <w:spacing w:line="360" w:lineRule="auto"/>
        <w:ind w:firstLine="420"/>
        <w:rPr>
          <w:rFonts w:hint="eastAsia"/>
        </w:rPr>
      </w:pPr>
      <w:r>
        <w:rPr>
          <w:rFonts w:hint="eastAsia"/>
        </w:rPr>
        <w:t>GB 5226.1  机械电气安全 机械电气设备 第1部分：通用技术条件</w:t>
      </w:r>
    </w:p>
    <w:p w14:paraId="61DBBD54" w14:textId="77777777" w:rsidR="00044B4B" w:rsidRDefault="00044B4B" w:rsidP="00044B4B">
      <w:pPr>
        <w:pStyle w:val="af0"/>
        <w:spacing w:line="360" w:lineRule="auto"/>
        <w:ind w:firstLine="420"/>
        <w:rPr>
          <w:rFonts w:hint="eastAsia"/>
        </w:rPr>
      </w:pPr>
      <w:r>
        <w:rPr>
          <w:rFonts w:hint="eastAsia"/>
        </w:rPr>
        <w:t>GB/T 10125  人造气氛腐蚀试验 盐雾试验</w:t>
      </w:r>
    </w:p>
    <w:p w14:paraId="45FB1CE0" w14:textId="77777777" w:rsidR="00044B4B" w:rsidRDefault="00044B4B" w:rsidP="00044B4B">
      <w:pPr>
        <w:pStyle w:val="af0"/>
        <w:spacing w:line="360" w:lineRule="auto"/>
        <w:ind w:firstLine="420"/>
        <w:rPr>
          <w:rFonts w:hint="eastAsia"/>
        </w:rPr>
      </w:pPr>
      <w:r>
        <w:rPr>
          <w:rFonts w:hint="eastAsia"/>
        </w:rPr>
        <w:t>GB/T 16935.1  低压系统内设备的绝缘配合 第1部分：原理、要求和试验</w:t>
      </w:r>
    </w:p>
    <w:p w14:paraId="4D8FA3A7" w14:textId="77777777" w:rsidR="00044B4B" w:rsidRDefault="00044B4B" w:rsidP="00044B4B">
      <w:pPr>
        <w:pStyle w:val="af0"/>
        <w:spacing w:line="360" w:lineRule="auto"/>
        <w:ind w:firstLine="420"/>
        <w:rPr>
          <w:rFonts w:hint="eastAsia"/>
        </w:rPr>
      </w:pPr>
      <w:r>
        <w:rPr>
          <w:rFonts w:hint="eastAsia"/>
        </w:rPr>
        <w:t>GB/T 44264  光伏组件清洁机器人通用技术条件</w:t>
      </w:r>
    </w:p>
    <w:p w14:paraId="1A861530" w14:textId="77777777" w:rsidR="00044B4B" w:rsidRDefault="00044B4B" w:rsidP="00044B4B">
      <w:pPr>
        <w:pStyle w:val="af0"/>
        <w:spacing w:line="360" w:lineRule="auto"/>
        <w:ind w:firstLine="420"/>
        <w:rPr>
          <w:rFonts w:hint="eastAsia"/>
        </w:rPr>
      </w:pPr>
      <w:r>
        <w:rPr>
          <w:rFonts w:hint="eastAsia"/>
        </w:rPr>
        <w:t>GB/T 44312 巡检机器人集中监控系统技术要求</w:t>
      </w:r>
    </w:p>
    <w:p w14:paraId="24E78BE9" w14:textId="77777777" w:rsidR="00044B4B" w:rsidRDefault="00044B4B" w:rsidP="00044B4B">
      <w:pPr>
        <w:pStyle w:val="af0"/>
        <w:spacing w:line="360" w:lineRule="auto"/>
        <w:ind w:firstLine="420"/>
        <w:rPr>
          <w:rFonts w:hint="eastAsia"/>
        </w:rPr>
      </w:pPr>
      <w:r>
        <w:rPr>
          <w:rFonts w:hint="eastAsia"/>
        </w:rPr>
        <w:t>GB/T 45166  无损检测 红外热成像检测 总则</w:t>
      </w:r>
    </w:p>
    <w:p w14:paraId="61EF2955" w14:textId="77777777" w:rsidR="00044B4B" w:rsidRDefault="00044B4B" w:rsidP="00044B4B">
      <w:pPr>
        <w:pStyle w:val="af0"/>
        <w:spacing w:line="360" w:lineRule="auto"/>
        <w:ind w:firstLine="420"/>
        <w:rPr>
          <w:rFonts w:hint="eastAsia"/>
        </w:rPr>
      </w:pPr>
      <w:r>
        <w:rPr>
          <w:rFonts w:hint="eastAsia"/>
        </w:rPr>
        <w:t>DL/T 5027  电力设备典型消防规程</w:t>
      </w:r>
    </w:p>
    <w:p w14:paraId="2F118ADB" w14:textId="77777777" w:rsidR="00044B4B" w:rsidRDefault="00044B4B" w:rsidP="00044B4B">
      <w:pPr>
        <w:pStyle w:val="af0"/>
        <w:spacing w:line="360" w:lineRule="auto"/>
        <w:ind w:firstLine="420"/>
        <w:rPr>
          <w:rFonts w:hint="eastAsia"/>
        </w:rPr>
      </w:pPr>
      <w:r>
        <w:rPr>
          <w:rFonts w:hint="eastAsia"/>
        </w:rPr>
        <w:t>DL/T 1610  变电站机器人巡检系统通用技术条件</w:t>
      </w:r>
    </w:p>
    <w:p w14:paraId="4F08B964" w14:textId="77777777" w:rsidR="00044B4B" w:rsidRDefault="00044B4B" w:rsidP="00044B4B">
      <w:pPr>
        <w:pStyle w:val="af0"/>
        <w:spacing w:line="360" w:lineRule="auto"/>
        <w:ind w:firstLine="420"/>
        <w:rPr>
          <w:rFonts w:hint="eastAsia"/>
        </w:rPr>
      </w:pPr>
      <w:r>
        <w:rPr>
          <w:rFonts w:hint="eastAsia"/>
        </w:rPr>
        <w:t>DL/T 1637  变电站机器人巡检技术导则</w:t>
      </w:r>
    </w:p>
    <w:p w14:paraId="35EC7392" w14:textId="04B97A57" w:rsidR="00044B4B" w:rsidRDefault="00044B4B" w:rsidP="00044B4B">
      <w:pPr>
        <w:pStyle w:val="af0"/>
        <w:spacing w:line="360" w:lineRule="auto"/>
        <w:ind w:firstLine="420"/>
      </w:pPr>
      <w:r>
        <w:rPr>
          <w:rFonts w:hint="eastAsia"/>
        </w:rPr>
        <w:t>T/CSEE 0371  集中式光伏发电站智慧运维规范</w:t>
      </w:r>
    </w:p>
    <w:p w14:paraId="41F843AA" w14:textId="77777777" w:rsidR="008F715F" w:rsidRDefault="007A3A4B">
      <w:pPr>
        <w:pStyle w:val="aa"/>
        <w:spacing w:line="360" w:lineRule="auto"/>
        <w:ind w:firstLine="422"/>
        <w:rPr>
          <w:b/>
          <w:bCs/>
        </w:rPr>
      </w:pPr>
      <w:r>
        <w:rPr>
          <w:b/>
          <w:bCs/>
        </w:rPr>
        <w:t>术语和定义：</w:t>
      </w:r>
      <w:r>
        <w:t>界定5个核心术语及SCADA等缩略语，统一行业认知，避免歧义。</w:t>
      </w:r>
    </w:p>
    <w:p w14:paraId="6C48BAA1" w14:textId="77777777" w:rsidR="008F715F" w:rsidRDefault="007A3A4B">
      <w:pPr>
        <w:pStyle w:val="aa"/>
        <w:spacing w:line="360" w:lineRule="auto"/>
        <w:ind w:firstLine="422"/>
        <w:rPr>
          <w:b/>
          <w:bCs/>
        </w:rPr>
      </w:pPr>
      <w:r>
        <w:rPr>
          <w:b/>
          <w:bCs/>
        </w:rPr>
        <w:t>运</w:t>
      </w:r>
      <w:proofErr w:type="gramStart"/>
      <w:r>
        <w:rPr>
          <w:b/>
          <w:bCs/>
        </w:rPr>
        <w:t>维基本</w:t>
      </w:r>
      <w:proofErr w:type="gramEnd"/>
      <w:r>
        <w:rPr>
          <w:b/>
          <w:bCs/>
        </w:rPr>
        <w:t>要求：</w:t>
      </w:r>
      <w:r>
        <w:t>从人员资质（低压电工证+专项培训合格证）、工具技术参数、安全操作流程（断电-</w:t>
      </w:r>
      <w:proofErr w:type="gramStart"/>
      <w:r>
        <w:t>验电</w:t>
      </w:r>
      <w:proofErr w:type="gramEnd"/>
      <w:r>
        <w:t>-接地-挂牌）、环境适配措施四方面，</w:t>
      </w:r>
      <w:proofErr w:type="gramStart"/>
      <w:r>
        <w:t>明确运维基础</w:t>
      </w:r>
      <w:proofErr w:type="gramEnd"/>
      <w:r>
        <w:t>条件。</w:t>
      </w:r>
    </w:p>
    <w:p w14:paraId="3D2CA594" w14:textId="77777777" w:rsidR="008F715F" w:rsidRDefault="007A3A4B">
      <w:pPr>
        <w:pStyle w:val="aa"/>
        <w:spacing w:line="360" w:lineRule="auto"/>
        <w:ind w:firstLine="422"/>
        <w:rPr>
          <w:b/>
          <w:bCs/>
        </w:rPr>
      </w:pPr>
      <w:r>
        <w:rPr>
          <w:b/>
          <w:bCs/>
        </w:rPr>
        <w:t>日常运维：</w:t>
      </w:r>
      <w:r>
        <w:t>规定每日巡检（设备状态、功能验证、环境监测）和周维护（清洁系统、巡检模块等）的具体内容与量化指标，如防护膜收放耗时</w:t>
      </w:r>
      <w:r>
        <w:t>≤</w:t>
      </w:r>
      <w:r>
        <w:t>30s。</w:t>
      </w:r>
    </w:p>
    <w:p w14:paraId="74D8F89A" w14:textId="77777777" w:rsidR="008F715F" w:rsidRDefault="007A3A4B">
      <w:pPr>
        <w:pStyle w:val="aa"/>
        <w:spacing w:line="360" w:lineRule="auto"/>
        <w:ind w:firstLine="422"/>
        <w:rPr>
          <w:b/>
          <w:bCs/>
        </w:rPr>
      </w:pPr>
      <w:r>
        <w:rPr>
          <w:b/>
          <w:bCs/>
        </w:rPr>
        <w:t>定期运</w:t>
      </w:r>
      <w:proofErr w:type="gramStart"/>
      <w:r>
        <w:rPr>
          <w:b/>
          <w:bCs/>
        </w:rPr>
        <w:t>维技术</w:t>
      </w:r>
      <w:proofErr w:type="gramEnd"/>
      <w:r>
        <w:rPr>
          <w:b/>
          <w:bCs/>
        </w:rPr>
        <w:t>要求：</w:t>
      </w:r>
      <w:r>
        <w:t>按周期明确喷管检查、电机测试、巡检校准等核心项目，细化测试方法与合格标准，如年度防腐蚀检测需满足500h盐雾试验要求。</w:t>
      </w:r>
    </w:p>
    <w:p w14:paraId="42C623FB" w14:textId="77777777" w:rsidR="008F715F" w:rsidRDefault="007A3A4B">
      <w:pPr>
        <w:pStyle w:val="aa"/>
        <w:spacing w:line="360" w:lineRule="auto"/>
        <w:ind w:firstLine="422"/>
        <w:rPr>
          <w:b/>
          <w:bCs/>
        </w:rPr>
      </w:pPr>
      <w:r>
        <w:rPr>
          <w:b/>
          <w:bCs/>
        </w:rPr>
        <w:lastRenderedPageBreak/>
        <w:t>故障诊断与处理：</w:t>
      </w:r>
      <w:r>
        <w:t>建立</w:t>
      </w:r>
      <w:proofErr w:type="gramStart"/>
      <w:r>
        <w:t>一</w:t>
      </w:r>
      <w:proofErr w:type="gramEnd"/>
      <w:r>
        <w:t>/二级故障分级体系，规范常见故障处理流程及电气火灾、极端天气等应急处置要求，明确响应与修复时限。</w:t>
      </w:r>
    </w:p>
    <w:p w14:paraId="465F2DB9" w14:textId="77777777" w:rsidR="008F715F" w:rsidRDefault="007A3A4B">
      <w:pPr>
        <w:pStyle w:val="aa"/>
        <w:spacing w:line="360" w:lineRule="auto"/>
        <w:ind w:firstLine="422"/>
        <w:rPr>
          <w:b/>
          <w:bCs/>
        </w:rPr>
      </w:pPr>
      <w:r>
        <w:rPr>
          <w:b/>
          <w:bCs/>
        </w:rPr>
        <w:t>运</w:t>
      </w:r>
      <w:proofErr w:type="gramStart"/>
      <w:r>
        <w:rPr>
          <w:b/>
          <w:bCs/>
        </w:rPr>
        <w:t>维效果</w:t>
      </w:r>
      <w:proofErr w:type="gramEnd"/>
      <w:r>
        <w:rPr>
          <w:b/>
          <w:bCs/>
        </w:rPr>
        <w:t>评估：</w:t>
      </w:r>
      <w:r>
        <w:t>设定设备运行、功能效果、运维效率、安全四类指标，规定月度简评与年度全面评估的实施方式。</w:t>
      </w:r>
    </w:p>
    <w:p w14:paraId="4C69EE5E" w14:textId="63071B0A" w:rsidR="008F715F" w:rsidRDefault="007A3A4B">
      <w:pPr>
        <w:pStyle w:val="aa"/>
        <w:spacing w:line="360" w:lineRule="auto"/>
        <w:ind w:firstLine="422"/>
      </w:pPr>
      <w:r>
        <w:rPr>
          <w:b/>
          <w:bCs/>
        </w:rPr>
        <w:t>运</w:t>
      </w:r>
      <w:proofErr w:type="gramStart"/>
      <w:r>
        <w:rPr>
          <w:b/>
          <w:bCs/>
        </w:rPr>
        <w:t>维记录</w:t>
      </w:r>
      <w:proofErr w:type="gramEnd"/>
      <w:r>
        <w:rPr>
          <w:b/>
          <w:bCs/>
        </w:rPr>
        <w:t>与档案管理：</w:t>
      </w:r>
      <w:r>
        <w:t>统一记录内容与格式，要求纸质+电子双模式存储，电子档案AES-128加密，确保数据可追溯。</w:t>
      </w:r>
    </w:p>
    <w:p w14:paraId="16EA7606" w14:textId="77777777" w:rsidR="008F715F" w:rsidRDefault="007A3A4B">
      <w:pPr>
        <w:pStyle w:val="ae"/>
        <w:spacing w:beforeLines="50" w:before="156" w:afterLines="50" w:after="156" w:line="360" w:lineRule="auto"/>
      </w:pPr>
      <w:r>
        <w:rPr>
          <w:rFonts w:hint="eastAsia"/>
        </w:rPr>
        <w:t>4.4对各阶段征求意见的处理情况说明</w:t>
      </w:r>
    </w:p>
    <w:p w14:paraId="0FE3CA6D" w14:textId="77777777" w:rsidR="00D247ED" w:rsidRPr="00D247ED" w:rsidRDefault="00D247ED" w:rsidP="00D247ED">
      <w:pPr>
        <w:pStyle w:val="aa"/>
        <w:spacing w:line="360" w:lineRule="auto"/>
      </w:pPr>
      <w:r w:rsidRPr="00D247ED">
        <w:rPr>
          <w:rFonts w:hint="eastAsia"/>
        </w:rPr>
        <w:t>本标准编制严格遵循标准化工作程序，通过内部研讨、专家咨询、多轮论证，确保内容科学合理、可操作性强。</w:t>
      </w:r>
    </w:p>
    <w:p w14:paraId="30D9612F" w14:textId="77777777" w:rsidR="00D247ED" w:rsidRPr="00D247ED" w:rsidRDefault="00D247ED" w:rsidP="00D247ED">
      <w:pPr>
        <w:pStyle w:val="aa"/>
        <w:spacing w:line="360" w:lineRule="auto"/>
      </w:pPr>
      <w:r w:rsidRPr="00D247ED">
        <w:rPr>
          <w:rFonts w:hint="eastAsia"/>
        </w:rPr>
        <w:t>草案阶段，编制组对运</w:t>
      </w:r>
      <w:proofErr w:type="gramStart"/>
      <w:r w:rsidRPr="00D247ED">
        <w:rPr>
          <w:rFonts w:hint="eastAsia"/>
        </w:rPr>
        <w:t>维基础</w:t>
      </w:r>
      <w:proofErr w:type="gramEnd"/>
      <w:r w:rsidRPr="00D247ED">
        <w:rPr>
          <w:rFonts w:hint="eastAsia"/>
        </w:rPr>
        <w:t>条件、日常巡检、定期运维、故障分级、应急处置、效果评估、档案管理等核心条款逐条研讨，结合现场运维经验、试验数据及典型案例，统一技术指标和判定要求，优化条款表述，确保内容贴合实际、指标取值合理。</w:t>
      </w:r>
    </w:p>
    <w:p w14:paraId="1E721AA6" w14:textId="77777777" w:rsidR="00D247ED" w:rsidRPr="00D247ED" w:rsidRDefault="00D247ED" w:rsidP="00D247ED">
      <w:pPr>
        <w:pStyle w:val="aa"/>
        <w:spacing w:line="360" w:lineRule="auto"/>
      </w:pPr>
      <w:r w:rsidRPr="00D247ED">
        <w:rPr>
          <w:rFonts w:hint="eastAsia"/>
        </w:rPr>
        <w:t>编制过程中，多次组织行业专家对人员资质、安全要求、运维周期、故障诊断、清洁与巡检精度、数据交互、环境适配等关键内容进行咨询论证，采纳合理建议，完善条款逻辑，提高标准协调性和适用性。</w:t>
      </w:r>
    </w:p>
    <w:p w14:paraId="18C9EE1F" w14:textId="3E1F9838" w:rsidR="008F715F" w:rsidRPr="00D247ED" w:rsidRDefault="00D247ED" w:rsidP="00D247ED">
      <w:pPr>
        <w:pStyle w:val="aa"/>
        <w:spacing w:line="360" w:lineRule="auto"/>
      </w:pPr>
      <w:r w:rsidRPr="00D247ED">
        <w:rPr>
          <w:rFonts w:hint="eastAsia"/>
        </w:rPr>
        <w:t>目前标准已形成征求意见稿，即将面向全产业</w:t>
      </w:r>
      <w:proofErr w:type="gramStart"/>
      <w:r w:rsidRPr="00D247ED">
        <w:rPr>
          <w:rFonts w:hint="eastAsia"/>
        </w:rPr>
        <w:t>链广泛</w:t>
      </w:r>
      <w:proofErr w:type="gramEnd"/>
      <w:r w:rsidRPr="00D247ED">
        <w:rPr>
          <w:rFonts w:hint="eastAsia"/>
        </w:rPr>
        <w:t>征求意见。后续将对反馈意见分类梳理、逐条论证，合理意见予以采纳；分歧意见通过补充验证、专家复核确定方案；形成规范的意见处理汇总表，确保标准编制过程严谨透明、内容成熟可行。</w:t>
      </w:r>
    </w:p>
    <w:p w14:paraId="4BB41A35" w14:textId="3CF8CB14" w:rsidR="008F715F" w:rsidRDefault="007A3A4B">
      <w:pPr>
        <w:pStyle w:val="11"/>
        <w:spacing w:before="312" w:after="312" w:line="360" w:lineRule="auto"/>
      </w:pPr>
      <w:bookmarkStart w:id="30" w:name="_Toc513731114"/>
      <w:r>
        <w:rPr>
          <w:rFonts w:ascii="宋体" w:hAnsi="宋体" w:hint="eastAsia"/>
          <w:szCs w:val="21"/>
        </w:rPr>
        <w:t>5</w:t>
      </w:r>
      <w:r>
        <w:rPr>
          <w:rFonts w:ascii="宋体" w:hAnsi="宋体" w:hint="eastAsia"/>
          <w:szCs w:val="21"/>
        </w:rPr>
        <w:t>相关</w:t>
      </w:r>
      <w:r>
        <w:rPr>
          <w:rFonts w:hint="eastAsia"/>
        </w:rPr>
        <w:t>标准对比说明</w:t>
      </w:r>
      <w:bookmarkEnd w:id="30"/>
    </w:p>
    <w:p w14:paraId="533E2BB4" w14:textId="77777777" w:rsidR="008F715F" w:rsidRDefault="007A3A4B">
      <w:pPr>
        <w:pStyle w:val="ae"/>
        <w:spacing w:beforeLines="50" w:before="156" w:afterLines="50" w:after="156" w:line="360" w:lineRule="auto"/>
      </w:pPr>
      <w:r>
        <w:rPr>
          <w:rFonts w:hint="eastAsia"/>
        </w:rPr>
        <w:t>5.1与国际标准对比</w:t>
      </w:r>
    </w:p>
    <w:p w14:paraId="131F7947" w14:textId="66ECCFF4" w:rsidR="008F715F" w:rsidRDefault="0074605A" w:rsidP="00EF6E6E">
      <w:pPr>
        <w:pStyle w:val="aa"/>
        <w:spacing w:line="360" w:lineRule="auto"/>
      </w:pPr>
      <w:r w:rsidRPr="0074605A">
        <w:t>目前国际上尚无针对光伏电站太阳能板巡检清洁一体化设备的专用运维标准，IEC 62446-2:2020 等相关国际标准仅对光</w:t>
      </w:r>
      <w:proofErr w:type="gramStart"/>
      <w:r w:rsidRPr="0074605A">
        <w:t>伏</w:t>
      </w:r>
      <w:proofErr w:type="gramEnd"/>
      <w:r w:rsidRPr="0074605A">
        <w:t>电站整体运</w:t>
      </w:r>
      <w:proofErr w:type="gramStart"/>
      <w:r w:rsidRPr="0074605A">
        <w:t>维提出</w:t>
      </w:r>
      <w:proofErr w:type="gramEnd"/>
      <w:r w:rsidRPr="0074605A">
        <w:t>通用性要求，未覆盖一体化设备的运维周期、故障分级处置、多模块协同运维及差异</w:t>
      </w:r>
      <w:proofErr w:type="gramStart"/>
      <w:r w:rsidRPr="0074605A">
        <w:t>化运维措施</w:t>
      </w:r>
      <w:proofErr w:type="gramEnd"/>
      <w:r w:rsidRPr="0074605A">
        <w:t>等专项内容，难以指导一体化设备</w:t>
      </w:r>
      <w:proofErr w:type="gramStart"/>
      <w:r w:rsidRPr="0074605A">
        <w:t>精细化运维</w:t>
      </w:r>
      <w:proofErr w:type="gramEnd"/>
      <w:r w:rsidRPr="0074605A">
        <w:t>。本标准首次构建一体化设备运</w:t>
      </w:r>
      <w:proofErr w:type="gramStart"/>
      <w:r w:rsidRPr="0074605A">
        <w:t>维技术</w:t>
      </w:r>
      <w:proofErr w:type="gramEnd"/>
      <w:r w:rsidRPr="0074605A">
        <w:t>体系，填补了国际层面的标准空白</w:t>
      </w:r>
      <w:r w:rsidR="007A3A4B">
        <w:rPr>
          <w:rFonts w:hint="eastAsia"/>
        </w:rPr>
        <w:t>。</w:t>
      </w:r>
    </w:p>
    <w:p w14:paraId="397C46F3" w14:textId="77777777" w:rsidR="008F715F" w:rsidRDefault="007A3A4B">
      <w:pPr>
        <w:pStyle w:val="ae"/>
        <w:spacing w:beforeLines="50" w:before="156" w:afterLines="50" w:after="156" w:line="360" w:lineRule="auto"/>
      </w:pPr>
      <w:r>
        <w:rPr>
          <w:rFonts w:hint="eastAsia"/>
        </w:rPr>
        <w:t>5.2与国内标准对比</w:t>
      </w:r>
    </w:p>
    <w:p w14:paraId="6FBAADEB" w14:textId="03CD55ED" w:rsidR="008F715F" w:rsidRDefault="0074605A">
      <w:pPr>
        <w:pStyle w:val="aa"/>
        <w:spacing w:line="360" w:lineRule="auto"/>
      </w:pPr>
      <w:r w:rsidRPr="0074605A">
        <w:t>国内现有光</w:t>
      </w:r>
      <w:proofErr w:type="gramStart"/>
      <w:r w:rsidRPr="0074605A">
        <w:t>伏相关</w:t>
      </w:r>
      <w:proofErr w:type="gramEnd"/>
      <w:r w:rsidRPr="0074605A">
        <w:t>标准多聚焦单一功能设备或通用运维场景，如 GB/T 44264-2024、T/CPIA 0074</w:t>
      </w:r>
      <w:r w:rsidRPr="0074605A">
        <w:t>—</w:t>
      </w:r>
      <w:r w:rsidRPr="0074605A">
        <w:t>2024、T/CAPE 11005-2023、T/CSEE 0371-2023 等，主要规范清洁机器人、</w:t>
      </w:r>
      <w:r w:rsidRPr="0074605A">
        <w:lastRenderedPageBreak/>
        <w:t>清扫机器人、组件清洗及电站智慧运维等内容，未形成针对巡检、清洁、防护一体化设备的</w:t>
      </w:r>
      <w:proofErr w:type="gramStart"/>
      <w:r w:rsidRPr="0074605A">
        <w:t>完整运</w:t>
      </w:r>
      <w:proofErr w:type="gramEnd"/>
      <w:r w:rsidRPr="0074605A">
        <w:t>维规范。本标准在衔接现有标准基础上，新增一体化设备运维全流程要求，完善分级运维、故障处置、效果评估等内容，实现从单一功能</w:t>
      </w:r>
      <w:proofErr w:type="gramStart"/>
      <w:r w:rsidRPr="0074605A">
        <w:t>运维向一体化</w:t>
      </w:r>
      <w:proofErr w:type="gramEnd"/>
      <w:r w:rsidRPr="0074605A">
        <w:t>协同运维的标准升级</w:t>
      </w:r>
      <w:r w:rsidR="007A3A4B">
        <w:rPr>
          <w:rFonts w:hint="eastAsia"/>
        </w:rPr>
        <w:t>。</w:t>
      </w:r>
    </w:p>
    <w:p w14:paraId="67AF01CF" w14:textId="77777777" w:rsidR="008F715F" w:rsidRDefault="007A3A4B">
      <w:pPr>
        <w:pStyle w:val="11"/>
        <w:spacing w:before="312" w:after="312" w:line="360" w:lineRule="auto"/>
        <w:rPr>
          <w:rFonts w:ascii="宋体" w:hAnsi="宋体" w:hint="eastAsia"/>
          <w:szCs w:val="21"/>
        </w:rPr>
      </w:pPr>
      <w:bookmarkStart w:id="31" w:name="_Toc513731115"/>
      <w:r>
        <w:rPr>
          <w:rFonts w:ascii="宋体" w:hAnsi="宋体" w:hint="eastAsia"/>
          <w:szCs w:val="21"/>
        </w:rPr>
        <w:t>6</w:t>
      </w:r>
      <w:r>
        <w:rPr>
          <w:rFonts w:ascii="宋体" w:hAnsi="宋体" w:hint="eastAsia"/>
          <w:szCs w:val="21"/>
        </w:rPr>
        <w:t>标准实施措施说明</w:t>
      </w:r>
      <w:bookmarkEnd w:id="31"/>
    </w:p>
    <w:p w14:paraId="3FE562B4" w14:textId="77777777" w:rsidR="008F715F" w:rsidRDefault="007A3A4B">
      <w:pPr>
        <w:pStyle w:val="ae"/>
        <w:spacing w:beforeLines="50" w:before="156" w:afterLines="50" w:after="156" w:line="360" w:lineRule="auto"/>
      </w:pPr>
      <w:r>
        <w:t>6.1宣贯培训</w:t>
      </w:r>
    </w:p>
    <w:p w14:paraId="5E085A92" w14:textId="77777777" w:rsidR="008F715F" w:rsidRDefault="007A3A4B">
      <w:pPr>
        <w:pStyle w:val="aa"/>
        <w:spacing w:line="360" w:lineRule="auto"/>
      </w:pPr>
      <w:r>
        <w:t>由牵头单位联合中国电机工程学会，组织行业宣贯会，面向设备制造商、光伏电站运维单位、检测机构开展标准解读，重点培训技术指标、试验方法、检验规则等核心内容，确保相关单位准确理解并执行标准。</w:t>
      </w:r>
    </w:p>
    <w:p w14:paraId="01878250" w14:textId="77777777" w:rsidR="008F715F" w:rsidRDefault="007A3A4B">
      <w:pPr>
        <w:pStyle w:val="ae"/>
        <w:spacing w:beforeLines="50" w:before="156" w:afterLines="50" w:after="156" w:line="360" w:lineRule="auto"/>
      </w:pPr>
      <w:r>
        <w:t>6.2监督执行</w:t>
      </w:r>
    </w:p>
    <w:p w14:paraId="469EE06C" w14:textId="77777777" w:rsidR="008F715F" w:rsidRDefault="007A3A4B">
      <w:pPr>
        <w:pStyle w:val="aa"/>
        <w:spacing w:line="360" w:lineRule="auto"/>
      </w:pPr>
      <w:r>
        <w:t>建议行业主管部门及光</w:t>
      </w:r>
      <w:proofErr w:type="gramStart"/>
      <w:r>
        <w:t>伏行业</w:t>
      </w:r>
      <w:proofErr w:type="gramEnd"/>
      <w:r>
        <w:t>协会，将本标准纳入光伏电站智能运</w:t>
      </w:r>
      <w:proofErr w:type="gramStart"/>
      <w:r>
        <w:t>维设备</w:t>
      </w:r>
      <w:proofErr w:type="gramEnd"/>
      <w:r>
        <w:t>选型与验收的参考依据，推动电站在设备采购、运</w:t>
      </w:r>
      <w:proofErr w:type="gramStart"/>
      <w:r>
        <w:t>维考核</w:t>
      </w:r>
      <w:proofErr w:type="gramEnd"/>
      <w:r>
        <w:t>中采用标准指标，同时建立标准执行情况反馈机制，及时收集实施中的问题。</w:t>
      </w:r>
    </w:p>
    <w:p w14:paraId="58147343" w14:textId="77777777" w:rsidR="008F715F" w:rsidRDefault="007A3A4B">
      <w:pPr>
        <w:pStyle w:val="ae"/>
        <w:spacing w:beforeLines="50" w:before="156" w:afterLines="50" w:after="156" w:line="360" w:lineRule="auto"/>
      </w:pPr>
      <w:r>
        <w:t>6.3配套服务</w:t>
      </w:r>
    </w:p>
    <w:p w14:paraId="2396C974" w14:textId="77777777" w:rsidR="008F715F" w:rsidRDefault="007A3A4B">
      <w:pPr>
        <w:pStyle w:val="aa"/>
        <w:spacing w:line="360" w:lineRule="auto"/>
      </w:pPr>
      <w:r>
        <w:t>组织编制标准实施指南，细化复杂条款的操作流程；搭建技术交流平台，促进设备厂商、电站、科研机构的协同，推动标准落地转化，</w:t>
      </w:r>
      <w:proofErr w:type="gramStart"/>
      <w:r>
        <w:t>助力光伏运</w:t>
      </w:r>
      <w:proofErr w:type="gramEnd"/>
      <w:r>
        <w:t>维行业向高效、智能、安全的一体化模式转型升级。</w:t>
      </w:r>
    </w:p>
    <w:sectPr w:rsidR="008F7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F82E" w14:textId="77777777" w:rsidR="00180471" w:rsidRDefault="00180471">
      <w:r>
        <w:separator/>
      </w:r>
    </w:p>
  </w:endnote>
  <w:endnote w:type="continuationSeparator" w:id="0">
    <w:p w14:paraId="28EF4D3C" w14:textId="77777777" w:rsidR="00180471" w:rsidRDefault="001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D2DD" w14:textId="77777777" w:rsidR="008F715F" w:rsidRDefault="007A3A4B">
    <w:pPr>
      <w:pStyle w:val="af"/>
      <w:jc w:val="center"/>
    </w:pPr>
    <w:r>
      <w:rPr>
        <w:kern w:val="2"/>
      </w:rPr>
      <w:fldChar w:fldCharType="begin"/>
    </w:r>
    <w:r>
      <w:rPr>
        <w:rStyle w:val="a8"/>
        <w:kern w:val="2"/>
      </w:rPr>
      <w:instrText xml:space="preserve"> PAGE </w:instrText>
    </w:r>
    <w:r>
      <w:rPr>
        <w:kern w:val="2"/>
      </w:rPr>
      <w:fldChar w:fldCharType="separate"/>
    </w:r>
    <w:r>
      <w:rPr>
        <w:rStyle w:val="a8"/>
        <w:kern w:val="2"/>
      </w:rPr>
      <w:t>27</w:t>
    </w:r>
    <w:r>
      <w:rPr>
        <w:kern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A3E7" w14:textId="77777777" w:rsidR="008F715F" w:rsidRDefault="007A3A4B">
    <w:pPr>
      <w:pStyle w:val="a4"/>
    </w:pPr>
    <w:r>
      <w:rPr>
        <w:noProof/>
      </w:rPr>
      <mc:AlternateContent>
        <mc:Choice Requires="wps">
          <w:drawing>
            <wp:anchor distT="0" distB="0" distL="114300" distR="114300" simplePos="0" relativeHeight="251659264" behindDoc="0" locked="0" layoutInCell="1" allowOverlap="1" wp14:anchorId="10CEF955" wp14:editId="6F3FEFC4">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2DE33C2" w14:textId="77777777" w:rsidR="008F715F" w:rsidRDefault="007A3A4B">
                          <w:pPr>
                            <w:pStyle w:val="a4"/>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type w14:anchorId="10CEF95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02DE33C2" w14:textId="77777777" w:rsidR="008F715F" w:rsidRDefault="007A3A4B">
                    <w:pPr>
                      <w:pStyle w:val="a4"/>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6E28" w14:textId="77777777" w:rsidR="00180471" w:rsidRDefault="00180471">
      <w:r>
        <w:separator/>
      </w:r>
    </w:p>
  </w:footnote>
  <w:footnote w:type="continuationSeparator" w:id="0">
    <w:p w14:paraId="4D5BBAB0" w14:textId="77777777" w:rsidR="00180471" w:rsidRDefault="0018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2EEB" w14:textId="77777777" w:rsidR="008F715F" w:rsidRDefault="007A3A4B">
    <w:pPr>
      <w:pStyle w:val="ab"/>
      <w:spacing w:before="120" w:after="120"/>
      <w:jc w:val="both"/>
    </w:pPr>
    <w:r>
      <w:t>Q/</w:t>
    </w:r>
    <w:r>
      <w:rPr>
        <w:rFonts w:hint="eastAsia"/>
      </w:rPr>
      <w:t>GDW</w:t>
    </w:r>
    <w:r>
      <w:rPr>
        <w:rFonts w:hAnsi="宋体" w:hint="eastAsia"/>
      </w:rPr>
      <w:t xml:space="preserve"> </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06A8" w14:textId="77777777" w:rsidR="008F715F" w:rsidRDefault="007A3A4B">
    <w:pPr>
      <w:pStyle w:val="ab"/>
      <w:wordWrap w:val="0"/>
    </w:pPr>
    <w:r>
      <w:rPr>
        <w:rFonts w:hint="eastAsia"/>
      </w:rPr>
      <w:t>T</w:t>
    </w:r>
    <w:r>
      <w:t>/</w:t>
    </w:r>
    <w:r>
      <w:rPr>
        <w:rFonts w:hint="eastAsia"/>
      </w:rPr>
      <w:t>CSEE</w:t>
    </w:r>
    <w:r>
      <w:rPr>
        <w:rFonts w:hAnsi="黑体" w:hint="eastAsia"/>
      </w:rPr>
      <w:t xml:space="preserve"> XXXX-YYYY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AD06" w14:textId="77777777" w:rsidR="008F715F" w:rsidRDefault="008F715F">
    <w:pPr>
      <w:pStyle w:val="ab"/>
      <w:wordWrap w:val="0"/>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206993887">
    <w:abstractNumId w:val="0"/>
  </w:num>
  <w:num w:numId="2" w16cid:durableId="7940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FF"/>
    <w:rsid w:val="00044B4B"/>
    <w:rsid w:val="00091BFB"/>
    <w:rsid w:val="000C0A65"/>
    <w:rsid w:val="00113D55"/>
    <w:rsid w:val="001211A9"/>
    <w:rsid w:val="00141DE4"/>
    <w:rsid w:val="0017089E"/>
    <w:rsid w:val="00180471"/>
    <w:rsid w:val="0019125D"/>
    <w:rsid w:val="001B2999"/>
    <w:rsid w:val="001E33F1"/>
    <w:rsid w:val="00242D5B"/>
    <w:rsid w:val="00255E13"/>
    <w:rsid w:val="002720FF"/>
    <w:rsid w:val="00294B6E"/>
    <w:rsid w:val="002C1148"/>
    <w:rsid w:val="002C3279"/>
    <w:rsid w:val="002D2283"/>
    <w:rsid w:val="002D4C97"/>
    <w:rsid w:val="002E144E"/>
    <w:rsid w:val="002F5E38"/>
    <w:rsid w:val="0039791D"/>
    <w:rsid w:val="003B0D1E"/>
    <w:rsid w:val="00406721"/>
    <w:rsid w:val="00452C68"/>
    <w:rsid w:val="004742F8"/>
    <w:rsid w:val="0048431E"/>
    <w:rsid w:val="00541CCD"/>
    <w:rsid w:val="00577672"/>
    <w:rsid w:val="005849F8"/>
    <w:rsid w:val="005A6EE3"/>
    <w:rsid w:val="00613087"/>
    <w:rsid w:val="00627CD0"/>
    <w:rsid w:val="00647A61"/>
    <w:rsid w:val="006E2ADB"/>
    <w:rsid w:val="0074605A"/>
    <w:rsid w:val="00762373"/>
    <w:rsid w:val="007A3A4B"/>
    <w:rsid w:val="007A4E48"/>
    <w:rsid w:val="00803705"/>
    <w:rsid w:val="00883418"/>
    <w:rsid w:val="008D7665"/>
    <w:rsid w:val="008F245A"/>
    <w:rsid w:val="008F715F"/>
    <w:rsid w:val="00910D19"/>
    <w:rsid w:val="00974F1D"/>
    <w:rsid w:val="009B13A3"/>
    <w:rsid w:val="00A8162E"/>
    <w:rsid w:val="00AB6672"/>
    <w:rsid w:val="00AC76CC"/>
    <w:rsid w:val="00B31BC8"/>
    <w:rsid w:val="00B33434"/>
    <w:rsid w:val="00B55EC2"/>
    <w:rsid w:val="00B611D3"/>
    <w:rsid w:val="00BE4B0B"/>
    <w:rsid w:val="00BF259C"/>
    <w:rsid w:val="00CC627A"/>
    <w:rsid w:val="00CC7420"/>
    <w:rsid w:val="00CF4979"/>
    <w:rsid w:val="00D070F0"/>
    <w:rsid w:val="00D247ED"/>
    <w:rsid w:val="00D7244A"/>
    <w:rsid w:val="00E314EA"/>
    <w:rsid w:val="00E57BDF"/>
    <w:rsid w:val="00E64076"/>
    <w:rsid w:val="00E642AF"/>
    <w:rsid w:val="00E65A6B"/>
    <w:rsid w:val="00E966A1"/>
    <w:rsid w:val="00EF6E6E"/>
    <w:rsid w:val="00F2778D"/>
    <w:rsid w:val="00F6283A"/>
    <w:rsid w:val="00F72DF3"/>
    <w:rsid w:val="00F75315"/>
    <w:rsid w:val="00FF56C9"/>
    <w:rsid w:val="0A410AF1"/>
    <w:rsid w:val="1DA014D7"/>
    <w:rsid w:val="1F8F25D3"/>
    <w:rsid w:val="21582E98"/>
    <w:rsid w:val="3E4B3711"/>
    <w:rsid w:val="3FDA5F23"/>
    <w:rsid w:val="495C4A24"/>
    <w:rsid w:val="5EED6B4B"/>
    <w:rsid w:val="7D83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26856"/>
  <w15:docId w15:val="{9230ADD3-CFF2-4BC1-B6F6-E181192E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9241"/>
      </w:tabs>
      <w:spacing w:beforeLines="25" w:before="25" w:afterLines="25" w:after="25"/>
      <w:jc w:val="left"/>
    </w:pPr>
    <w:rPr>
      <w:rFonts w:ascii="宋体"/>
      <w:szCs w:val="21"/>
    </w:rPr>
  </w:style>
  <w:style w:type="character" w:styleId="a8">
    <w:name w:val="page number"/>
    <w:qFormat/>
    <w:rPr>
      <w:rFonts w:ascii="Times New Roman" w:eastAsia="宋体" w:hAnsi="Times New Roman"/>
      <w:sz w:val="18"/>
    </w:rPr>
  </w:style>
  <w:style w:type="character" w:styleId="a9">
    <w:name w:val="Hyperlink"/>
    <w:uiPriority w:val="99"/>
    <w:unhideWhenUsed/>
    <w:qFormat/>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paragraph" w:customStyle="1" w:styleId="aa">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b">
    <w:name w:val="标准书眉_奇数页"/>
    <w:next w:val="a0"/>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a"/>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11">
    <w:name w:val="样式 标题 1 + 非加粗"/>
    <w:basedOn w:val="1"/>
    <w:qFormat/>
    <w:pPr>
      <w:spacing w:beforeLines="100" w:before="100" w:afterLines="100" w:after="100" w:line="240" w:lineRule="auto"/>
    </w:pPr>
    <w:rPr>
      <w:rFonts w:eastAsia="黑体"/>
      <w:b w:val="0"/>
      <w:bCs w:val="0"/>
      <w:sz w:val="21"/>
    </w:rPr>
  </w:style>
  <w:style w:type="paragraph" w:customStyle="1" w:styleId="ac">
    <w:name w:val="目次、标准名称标题"/>
    <w:basedOn w:val="a0"/>
    <w:next w:val="aa"/>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styleId="ad">
    <w:name w:val="List Paragraph"/>
    <w:basedOn w:val="a0"/>
    <w:uiPriority w:val="34"/>
    <w:qFormat/>
    <w:pPr>
      <w:ind w:firstLineChars="200" w:firstLine="420"/>
    </w:pPr>
    <w:rPr>
      <w:rFonts w:ascii="Calibri" w:hAnsi="Calibri"/>
      <w:szCs w:val="22"/>
    </w:rPr>
  </w:style>
  <w:style w:type="paragraph" w:customStyle="1" w:styleId="ae">
    <w:name w:val="附录章标题"/>
    <w:next w:val="aa"/>
    <w:qFormat/>
    <w:p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 w:val="21"/>
    </w:rPr>
  </w:style>
  <w:style w:type="paragraph" w:customStyle="1" w:styleId="af">
    <w:name w:val="标准书脚_奇数页"/>
    <w:qFormat/>
    <w:pPr>
      <w:spacing w:before="120"/>
      <w:ind w:right="198"/>
      <w:jc w:val="right"/>
    </w:pPr>
    <w:rPr>
      <w:rFonts w:ascii="宋体" w:eastAsia="宋体" w:hAnsi="Times New Roman" w:cs="Times New Roman"/>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paragraph" w:customStyle="1" w:styleId="af0">
    <w:name w:val="标准文件_段"/>
    <w:link w:val="Char"/>
    <w:qFormat/>
    <w:pPr>
      <w:autoSpaceDE w:val="0"/>
      <w:autoSpaceDN w:val="0"/>
      <w:ind w:firstLineChars="200" w:firstLine="200"/>
      <w:jc w:val="both"/>
    </w:pPr>
    <w:rPr>
      <w:rFonts w:ascii="宋体" w:eastAsia="宋体" w:hAnsi="Times New Roman" w:cs="Times New Roman"/>
      <w:sz w:val="21"/>
    </w:rPr>
  </w:style>
  <w:style w:type="character" w:customStyle="1" w:styleId="Char">
    <w:name w:val="标准文件_段 Char"/>
    <w:link w:val="af0"/>
    <w:qFormat/>
    <w:rPr>
      <w:rFonts w:ascii="宋体" w:eastAsia="宋体" w:hAnsi="Times New Roman" w:cs="Times New Roman"/>
      <w:kern w:val="0"/>
      <w:szCs w:val="20"/>
    </w:r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9</Pages>
  <Words>2814</Words>
  <Characters>3181</Characters>
  <Application>Microsoft Office Word</Application>
  <DocSecurity>0</DocSecurity>
  <Lines>151</Lines>
  <Paragraphs>206</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hu'yun'xia</dc:creator>
  <cp:lastModifiedBy> </cp:lastModifiedBy>
  <cp:revision>78</cp:revision>
  <dcterms:created xsi:type="dcterms:W3CDTF">2025-12-05T02:52:00Z</dcterms:created>
  <dcterms:modified xsi:type="dcterms:W3CDTF">2026-05-22T08:11:00Z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eyJoZGlkIjoiMjI4OWM5NDY1ZWM4ZTJkNGY1ZDQ5OTdhOGNmYzQ5ZmUiLCJ1c2VySWQiOiIxNjA0MDM4ODIxIn0=</vt:lpwstr>
  </property>
  <property fmtid="{D5CDD505-2E9C-101B-9397-08002B2CF9AE}" pid="3" name="KSOProductBuildVer">
    <vt:lpwstr>2052-12.1.0.23542</vt:lpwstr>
  </property>
  <property fmtid="{D5CDD505-2E9C-101B-9397-08002B2CF9AE}" pid="4" name="ICV">
    <vt:lpwstr>07467D328CFD470F897B7F46BF5DE791_12</vt:lpwstr>
  </property>
</Properties>
</file>