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6C89C">
      <w:pPr>
        <w:pStyle w:val="40"/>
        <w:ind w:firstLine="0" w:firstLineChars="0"/>
      </w:pPr>
    </w:p>
    <w:p w14:paraId="3A91F994">
      <w:pPr>
        <w:pStyle w:val="40"/>
        <w:ind w:firstLine="0" w:firstLineChars="0"/>
      </w:pPr>
    </w:p>
    <w:p w14:paraId="145AE716">
      <w:pPr>
        <w:pStyle w:val="40"/>
        <w:ind w:firstLine="0" w:firstLineChars="0"/>
      </w:pPr>
    </w:p>
    <w:p w14:paraId="7E5FE55F">
      <w:pPr>
        <w:pStyle w:val="40"/>
        <w:ind w:firstLine="0" w:firstLineChars="0"/>
      </w:pPr>
    </w:p>
    <w:p w14:paraId="3FEF580F">
      <w:pPr>
        <w:pStyle w:val="40"/>
        <w:ind w:firstLine="0" w:firstLineChars="0"/>
      </w:pPr>
    </w:p>
    <w:p w14:paraId="5C121CAD">
      <w:pPr>
        <w:pStyle w:val="40"/>
        <w:ind w:firstLine="0" w:firstLineChars="0"/>
      </w:pPr>
    </w:p>
    <w:p w14:paraId="3DE301E6">
      <w:pPr>
        <w:pStyle w:val="40"/>
        <w:ind w:firstLine="0" w:firstLineChars="0"/>
      </w:pPr>
    </w:p>
    <w:p w14:paraId="48CCA15B">
      <w:pPr>
        <w:pStyle w:val="40"/>
        <w:ind w:firstLine="0" w:firstLineChars="0"/>
      </w:pPr>
    </w:p>
    <w:p w14:paraId="6D5700DD">
      <w:pPr>
        <w:pStyle w:val="40"/>
        <w:ind w:firstLine="0" w:firstLineChars="0"/>
      </w:pPr>
    </w:p>
    <w:p w14:paraId="3DC91233">
      <w:pPr>
        <w:pStyle w:val="40"/>
        <w:ind w:firstLine="0" w:firstLineChars="0"/>
      </w:pPr>
    </w:p>
    <w:p w14:paraId="65CC085D">
      <w:pPr>
        <w:pStyle w:val="40"/>
        <w:ind w:firstLine="0" w:firstLineChars="0"/>
      </w:pPr>
    </w:p>
    <w:p w14:paraId="55C6560D">
      <w:pPr>
        <w:pStyle w:val="42"/>
        <w:numPr>
          <w:ilvl w:val="0"/>
          <w:numId w:val="0"/>
        </w:numPr>
        <w:jc w:val="center"/>
        <w:rPr>
          <w:rFonts w:hint="eastAsia" w:ascii="黑体" w:eastAsia="黑体"/>
          <w:sz w:val="44"/>
          <w:szCs w:val="44"/>
          <w:lang w:eastAsia="zh-CN"/>
        </w:rPr>
      </w:pPr>
      <w:bookmarkStart w:id="0" w:name="_Toc298937368"/>
      <w:bookmarkStart w:id="1" w:name="_Toc298937333"/>
      <w:bookmarkStart w:id="2" w:name="_Toc298938794"/>
      <w:bookmarkStart w:id="3" w:name="_Toc309993200"/>
      <w:bookmarkStart w:id="4" w:name="_Toc298937430"/>
      <w:bookmarkStart w:id="5" w:name="_Toc309996019"/>
      <w:bookmarkStart w:id="6" w:name="_Toc318613715"/>
      <w:bookmarkStart w:id="7" w:name="_Toc309995492"/>
      <w:bookmarkStart w:id="8" w:name="_Toc304824981"/>
      <w:bookmarkStart w:id="9" w:name="_Toc310002657"/>
      <w:bookmarkStart w:id="10" w:name="_Toc298937620"/>
      <w:bookmarkStart w:id="11" w:name="_Toc309995410"/>
      <w:bookmarkStart w:id="12" w:name="_Toc304825020"/>
      <w:bookmarkStart w:id="13" w:name="_Toc304828086"/>
      <w:bookmarkStart w:id="14" w:name="_Toc309995598"/>
      <w:bookmarkStart w:id="15" w:name="_Toc298937560"/>
      <w:bookmarkStart w:id="16" w:name="_Toc298937473"/>
      <w:bookmarkStart w:id="17" w:name="_Toc304402675"/>
      <w:bookmarkStart w:id="18" w:name="_Toc304825093"/>
      <w:bookmarkStart w:id="19" w:name="_Toc309994571"/>
      <w:bookmarkStart w:id="20" w:name="_Toc320020914"/>
      <w:bookmarkStart w:id="21" w:name="_Toc298938646"/>
      <w:bookmarkStart w:id="22" w:name="_Toc309997060"/>
      <w:r>
        <w:rPr>
          <w:rFonts w:hint="eastAsia" w:ascii="黑体" w:eastAsia="黑体"/>
          <w:sz w:val="44"/>
          <w:szCs w:val="44"/>
          <w:lang w:eastAsia="zh-CN"/>
        </w:rPr>
        <w:t>用于架空线路的多无人机协同巡检</w:t>
      </w:r>
    </w:p>
    <w:p w14:paraId="6262C14E">
      <w:pPr>
        <w:pStyle w:val="42"/>
        <w:numPr>
          <w:ilvl w:val="0"/>
          <w:numId w:val="0"/>
        </w:numPr>
        <w:jc w:val="center"/>
        <w:rPr>
          <w:rFonts w:hint="eastAsia" w:ascii="黑体" w:eastAsia="黑体"/>
          <w:sz w:val="44"/>
          <w:szCs w:val="44"/>
          <w:lang w:eastAsia="zh-CN"/>
        </w:rPr>
      </w:pPr>
      <w:r>
        <w:rPr>
          <w:rFonts w:hint="eastAsia" w:ascii="黑体" w:eastAsia="黑体"/>
          <w:sz w:val="44"/>
          <w:szCs w:val="44"/>
          <w:lang w:eastAsia="zh-CN"/>
        </w:rPr>
        <w:t>航迹规划</w:t>
      </w:r>
    </w:p>
    <w:p w14:paraId="5E04F570">
      <w:pPr>
        <w:pStyle w:val="42"/>
        <w:numPr>
          <w:ilvl w:val="0"/>
          <w:numId w:val="0"/>
        </w:numPr>
        <w:jc w:val="center"/>
        <w:rPr>
          <w:sz w:val="28"/>
          <w:szCs w:val="28"/>
        </w:rPr>
      </w:pPr>
      <w:r>
        <w:rPr>
          <w:rFonts w:hint="eastAsia"/>
          <w:sz w:val="28"/>
          <w:szCs w:val="28"/>
        </w:rPr>
        <w:t>编 制 说</w:t>
      </w:r>
      <w:bookmarkEnd w:id="0"/>
      <w:bookmarkEnd w:id="1"/>
      <w:r>
        <w:rPr>
          <w:rFonts w:hint="eastAsia"/>
          <w:sz w:val="28"/>
          <w:szCs w:val="28"/>
        </w:rPr>
        <w:t> 明</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7F48BC06">
      <w:pPr>
        <w:pStyle w:val="40"/>
        <w:ind w:firstLine="560"/>
        <w:jc w:val="center"/>
        <w:rPr>
          <w:rFonts w:ascii="黑体" w:eastAsia="黑体"/>
          <w:sz w:val="28"/>
          <w:szCs w:val="28"/>
        </w:rPr>
      </w:pPr>
    </w:p>
    <w:p w14:paraId="2462396D">
      <w:pPr>
        <w:pStyle w:val="40"/>
        <w:ind w:firstLine="560"/>
        <w:jc w:val="center"/>
        <w:rPr>
          <w:rFonts w:ascii="黑体" w:eastAsia="黑体"/>
          <w:sz w:val="28"/>
          <w:szCs w:val="28"/>
        </w:rPr>
      </w:pPr>
    </w:p>
    <w:p w14:paraId="75AF3BC9">
      <w:pPr>
        <w:pStyle w:val="40"/>
        <w:ind w:firstLine="560"/>
        <w:rPr>
          <w:rFonts w:ascii="黑体" w:eastAsia="黑体"/>
          <w:sz w:val="28"/>
          <w:szCs w:val="28"/>
        </w:rPr>
      </w:pPr>
    </w:p>
    <w:p w14:paraId="26DA9C5B"/>
    <w:p w14:paraId="2CE172E9"/>
    <w:p w14:paraId="4B34A575"/>
    <w:p w14:paraId="7BD65426"/>
    <w:p w14:paraId="57F7BA46"/>
    <w:p w14:paraId="242C7ACD"/>
    <w:p w14:paraId="33A80D78"/>
    <w:p w14:paraId="5BED3055"/>
    <w:p w14:paraId="5AD561D5"/>
    <w:p w14:paraId="597D8759"/>
    <w:p w14:paraId="047D0448"/>
    <w:p w14:paraId="401DA595"/>
    <w:p w14:paraId="019CE5DA"/>
    <w:p w14:paraId="2A9A2DE0">
      <w:pPr>
        <w:jc w:val="center"/>
      </w:pPr>
    </w:p>
    <w:p w14:paraId="357F61A8"/>
    <w:p w14:paraId="6741DF31">
      <w:pPr>
        <w:sectPr>
          <w:headerReference r:id="rId3" w:type="default"/>
          <w:footerReference r:id="rId5" w:type="default"/>
          <w:headerReference r:id="rId4" w:type="even"/>
          <w:pgSz w:w="11906" w:h="16838"/>
          <w:pgMar w:top="1440" w:right="1800" w:bottom="1440" w:left="1800" w:header="1418" w:footer="1134" w:gutter="0"/>
          <w:cols w:space="720" w:num="1"/>
          <w:formProt w:val="0"/>
          <w:titlePg/>
          <w:docGrid w:type="lines" w:linePitch="312" w:charSpace="0"/>
        </w:sectPr>
      </w:pPr>
    </w:p>
    <w:p w14:paraId="651C3769">
      <w:pPr>
        <w:pStyle w:val="44"/>
      </w:pPr>
      <w:bookmarkStart w:id="23" w:name="_Toc309992160"/>
      <w:bookmarkStart w:id="24" w:name="_Toc513731109"/>
      <w:bookmarkStart w:id="25" w:name="_Toc513731021"/>
      <w:r>
        <w:rPr>
          <w:rFonts w:hint="eastAsia"/>
        </w:rPr>
        <w:t>目次</w:t>
      </w:r>
      <w:bookmarkEnd w:id="23"/>
      <w:bookmarkEnd w:id="24"/>
      <w:bookmarkEnd w:id="25"/>
    </w:p>
    <w:p w14:paraId="0686A478">
      <w:pPr>
        <w:pStyle w:val="13"/>
        <w:spacing w:before="78" w:after="78"/>
        <w:jc w:val="center"/>
        <w:rPr>
          <w:rFonts w:ascii="Calibri" w:hAnsi="Calibri"/>
          <w:szCs w:val="22"/>
        </w:rPr>
      </w:pPr>
      <w:r>
        <w:rPr>
          <w:rFonts w:hAnsi="宋体"/>
        </w:rPr>
        <w:fldChar w:fldCharType="begin"/>
      </w:r>
      <w:r>
        <w:rPr>
          <w:rFonts w:hAnsi="宋体"/>
        </w:rPr>
        <w:instrText xml:space="preserve"> </w:instrText>
      </w:r>
      <w:r>
        <w:rPr>
          <w:rFonts w:hint="eastAsia" w:hAnsi="宋体"/>
        </w:rPr>
        <w:instrText xml:space="preserve">TOC \o "1-1" \h \z \u</w:instrText>
      </w:r>
      <w:r>
        <w:rPr>
          <w:rFonts w:hAnsi="宋体"/>
        </w:rPr>
        <w:instrText xml:space="preserve"> </w:instrText>
      </w:r>
      <w:r>
        <w:rPr>
          <w:rFonts w:hAnsi="宋体"/>
        </w:rPr>
        <w:fldChar w:fldCharType="separate"/>
      </w:r>
    </w:p>
    <w:p w14:paraId="76604397">
      <w:pPr>
        <w:pStyle w:val="13"/>
        <w:spacing w:before="78" w:after="78"/>
        <w:jc w:val="center"/>
        <w:rPr>
          <w:rFonts w:ascii="Calibri" w:hAnsi="Calibri"/>
          <w:szCs w:val="22"/>
        </w:rPr>
      </w:pPr>
      <w:r>
        <w:fldChar w:fldCharType="begin"/>
      </w:r>
      <w:r>
        <w:instrText xml:space="preserve"> HYPERLINK \l "_Toc513731110" </w:instrText>
      </w:r>
      <w:r>
        <w:fldChar w:fldCharType="separate"/>
      </w:r>
      <w:r>
        <w:rPr>
          <w:rStyle w:val="19"/>
          <w:rFonts w:hAnsi="宋体"/>
        </w:rPr>
        <w:t xml:space="preserve">1 </w:t>
      </w:r>
      <w:r>
        <w:rPr>
          <w:rStyle w:val="19"/>
          <w:rFonts w:hint="eastAsia" w:hAnsi="宋体"/>
        </w:rPr>
        <w:t>编制背景</w:t>
      </w:r>
      <w:r>
        <w:tab/>
      </w:r>
      <w:r>
        <w:fldChar w:fldCharType="begin"/>
      </w:r>
      <w:r>
        <w:instrText xml:space="preserve"> PAGEREF _Toc513731110 \h </w:instrText>
      </w:r>
      <w:r>
        <w:fldChar w:fldCharType="separate"/>
      </w:r>
      <w:r>
        <w:t>1</w:t>
      </w:r>
      <w:r>
        <w:fldChar w:fldCharType="end"/>
      </w:r>
      <w:r>
        <w:fldChar w:fldCharType="end"/>
      </w:r>
    </w:p>
    <w:p w14:paraId="660DFA4E">
      <w:pPr>
        <w:pStyle w:val="13"/>
        <w:spacing w:before="78" w:after="78"/>
        <w:jc w:val="center"/>
        <w:rPr>
          <w:rFonts w:ascii="Calibri" w:hAnsi="Calibri"/>
          <w:szCs w:val="22"/>
        </w:rPr>
      </w:pPr>
      <w:r>
        <w:fldChar w:fldCharType="begin"/>
      </w:r>
      <w:r>
        <w:instrText xml:space="preserve"> HYPERLINK \l "_Toc513731111" </w:instrText>
      </w:r>
      <w:r>
        <w:fldChar w:fldCharType="separate"/>
      </w:r>
      <w:r>
        <w:rPr>
          <w:rStyle w:val="19"/>
          <w:rFonts w:hAnsi="宋体"/>
        </w:rPr>
        <w:t xml:space="preserve">2 </w:t>
      </w:r>
      <w:r>
        <w:rPr>
          <w:rStyle w:val="19"/>
          <w:rFonts w:hint="eastAsia" w:hAnsi="宋体"/>
        </w:rPr>
        <w:t>编制主要原则</w:t>
      </w:r>
      <w:r>
        <w:tab/>
      </w:r>
      <w:r>
        <w:fldChar w:fldCharType="begin"/>
      </w:r>
      <w:r>
        <w:instrText xml:space="preserve"> PAGEREF _Toc513731111 \h </w:instrText>
      </w:r>
      <w:r>
        <w:fldChar w:fldCharType="separate"/>
      </w:r>
      <w:r>
        <w:t>1</w:t>
      </w:r>
      <w:r>
        <w:fldChar w:fldCharType="end"/>
      </w:r>
      <w:r>
        <w:fldChar w:fldCharType="end"/>
      </w:r>
    </w:p>
    <w:p w14:paraId="41486551">
      <w:pPr>
        <w:pStyle w:val="13"/>
        <w:spacing w:before="78" w:after="78"/>
        <w:jc w:val="center"/>
        <w:rPr>
          <w:rFonts w:ascii="Calibri" w:hAnsi="Calibri"/>
          <w:szCs w:val="22"/>
        </w:rPr>
      </w:pPr>
      <w:r>
        <w:fldChar w:fldCharType="begin"/>
      </w:r>
      <w:r>
        <w:instrText xml:space="preserve"> HYPERLINK \l "_Toc513731112" </w:instrText>
      </w:r>
      <w:r>
        <w:fldChar w:fldCharType="separate"/>
      </w:r>
      <w:r>
        <w:rPr>
          <w:rStyle w:val="19"/>
          <w:rFonts w:hAnsi="宋体"/>
        </w:rPr>
        <w:t xml:space="preserve">3 </w:t>
      </w:r>
      <w:r>
        <w:rPr>
          <w:rStyle w:val="19"/>
          <w:rFonts w:hint="eastAsia" w:hAnsi="宋体"/>
        </w:rPr>
        <w:t>主要工作过程</w:t>
      </w:r>
      <w:r>
        <w:tab/>
      </w:r>
      <w:r>
        <w:fldChar w:fldCharType="begin"/>
      </w:r>
      <w:r>
        <w:instrText xml:space="preserve"> PAGEREF _Toc513731112 \h </w:instrText>
      </w:r>
      <w:r>
        <w:fldChar w:fldCharType="separate"/>
      </w:r>
      <w:r>
        <w:t>2</w:t>
      </w:r>
      <w:r>
        <w:fldChar w:fldCharType="end"/>
      </w:r>
      <w:r>
        <w:fldChar w:fldCharType="end"/>
      </w:r>
    </w:p>
    <w:p w14:paraId="1163AC3F">
      <w:pPr>
        <w:pStyle w:val="13"/>
        <w:spacing w:before="78" w:after="78"/>
        <w:jc w:val="center"/>
        <w:rPr>
          <w:rFonts w:ascii="Calibri" w:hAnsi="Calibri"/>
          <w:szCs w:val="22"/>
        </w:rPr>
      </w:pPr>
      <w:r>
        <w:fldChar w:fldCharType="begin"/>
      </w:r>
      <w:r>
        <w:instrText xml:space="preserve"> HYPERLINK \l "_Toc513731113" </w:instrText>
      </w:r>
      <w:r>
        <w:fldChar w:fldCharType="separate"/>
      </w:r>
      <w:r>
        <w:rPr>
          <w:rStyle w:val="19"/>
          <w:rFonts w:hAnsi="宋体"/>
        </w:rPr>
        <w:t>4</w:t>
      </w:r>
      <w:r>
        <w:rPr>
          <w:rStyle w:val="19"/>
        </w:rPr>
        <w:t xml:space="preserve"> </w:t>
      </w:r>
      <w:r>
        <w:rPr>
          <w:rStyle w:val="19"/>
          <w:rFonts w:hint="eastAsia"/>
        </w:rPr>
        <w:t>标准结构和内容说明</w:t>
      </w:r>
      <w:r>
        <w:tab/>
      </w:r>
      <w:r>
        <w:fldChar w:fldCharType="begin"/>
      </w:r>
      <w:r>
        <w:instrText xml:space="preserve"> PAGEREF _Toc513731113 \h </w:instrText>
      </w:r>
      <w:r>
        <w:fldChar w:fldCharType="separate"/>
      </w:r>
      <w:r>
        <w:t>2</w:t>
      </w:r>
      <w:r>
        <w:fldChar w:fldCharType="end"/>
      </w:r>
      <w:r>
        <w:fldChar w:fldCharType="end"/>
      </w:r>
    </w:p>
    <w:p w14:paraId="37D39BDE">
      <w:pPr>
        <w:pStyle w:val="13"/>
        <w:spacing w:before="78" w:after="78"/>
        <w:jc w:val="center"/>
        <w:rPr>
          <w:rFonts w:ascii="Calibri" w:hAnsi="Calibri"/>
          <w:szCs w:val="22"/>
        </w:rPr>
      </w:pPr>
      <w:r>
        <w:fldChar w:fldCharType="begin"/>
      </w:r>
      <w:r>
        <w:instrText xml:space="preserve"> HYPERLINK \l "_Toc513731114" </w:instrText>
      </w:r>
      <w:r>
        <w:fldChar w:fldCharType="separate"/>
      </w:r>
      <w:r>
        <w:rPr>
          <w:rStyle w:val="19"/>
          <w:rFonts w:hAnsi="宋体"/>
        </w:rPr>
        <w:t>5</w:t>
      </w:r>
      <w:r>
        <w:rPr>
          <w:rStyle w:val="19"/>
          <w:rFonts w:hint="eastAsia"/>
        </w:rPr>
        <w:t>相关标准对比说明</w:t>
      </w:r>
      <w:r>
        <w:rPr>
          <w:rStyle w:val="19"/>
        </w:rPr>
        <w:tab/>
      </w:r>
      <w:r>
        <w:fldChar w:fldCharType="begin"/>
      </w:r>
      <w:r>
        <w:rPr>
          <w:rStyle w:val="19"/>
        </w:rPr>
        <w:instrText xml:space="preserve"> PAGEREF _Toc513731114 \h </w:instrText>
      </w:r>
      <w:r>
        <w:fldChar w:fldCharType="separate"/>
      </w:r>
      <w:r>
        <w:rPr>
          <w:rStyle w:val="19"/>
        </w:rPr>
        <w:t>3</w:t>
      </w:r>
      <w:r>
        <w:fldChar w:fldCharType="end"/>
      </w:r>
      <w:r>
        <w:fldChar w:fldCharType="end"/>
      </w:r>
    </w:p>
    <w:p w14:paraId="4C0F6937">
      <w:pPr>
        <w:pStyle w:val="13"/>
        <w:spacing w:before="78" w:after="78"/>
        <w:jc w:val="center"/>
        <w:rPr>
          <w:rFonts w:ascii="Calibri" w:hAnsi="Calibri"/>
          <w:szCs w:val="22"/>
        </w:rPr>
      </w:pPr>
      <w:r>
        <w:fldChar w:fldCharType="begin"/>
      </w:r>
      <w:r>
        <w:instrText xml:space="preserve"> HYPERLINK \l "_Toc513731115" </w:instrText>
      </w:r>
      <w:r>
        <w:fldChar w:fldCharType="separate"/>
      </w:r>
      <w:r>
        <w:rPr>
          <w:rStyle w:val="19"/>
          <w:rFonts w:hAnsi="宋体"/>
        </w:rPr>
        <w:t>6</w:t>
      </w:r>
      <w:r>
        <w:rPr>
          <w:rStyle w:val="19"/>
          <w:rFonts w:hint="eastAsia" w:hAnsi="宋体"/>
        </w:rPr>
        <w:t>标准实施措施说明</w:t>
      </w:r>
      <w:r>
        <w:tab/>
      </w:r>
      <w:r>
        <w:fldChar w:fldCharType="begin"/>
      </w:r>
      <w:r>
        <w:instrText xml:space="preserve"> PAGEREF _Toc513731115 \h </w:instrText>
      </w:r>
      <w:r>
        <w:fldChar w:fldCharType="separate"/>
      </w:r>
      <w:r>
        <w:t>3</w:t>
      </w:r>
      <w:r>
        <w:fldChar w:fldCharType="end"/>
      </w:r>
      <w:r>
        <w:fldChar w:fldCharType="end"/>
      </w:r>
    </w:p>
    <w:p w14:paraId="06444D75">
      <w:pPr>
        <w:pStyle w:val="40"/>
        <w:jc w:val="center"/>
        <w:rPr>
          <w:rFonts w:hint="eastAsia" w:hAnsi="宋体"/>
          <w:szCs w:val="21"/>
        </w:rPr>
      </w:pPr>
      <w:r>
        <w:rPr>
          <w:rFonts w:hAnsi="宋体"/>
          <w:szCs w:val="21"/>
        </w:rPr>
        <w:fldChar w:fldCharType="end"/>
      </w:r>
    </w:p>
    <w:p w14:paraId="055C3941">
      <w:pPr>
        <w:pStyle w:val="40"/>
        <w:rPr>
          <w:rFonts w:hint="eastAsia" w:hAnsi="宋体"/>
          <w:szCs w:val="21"/>
        </w:rPr>
      </w:pPr>
    </w:p>
    <w:p w14:paraId="3E0D2B7C">
      <w:pPr>
        <w:pStyle w:val="40"/>
        <w:rPr>
          <w:rFonts w:hint="eastAsia" w:hAnsi="宋体"/>
          <w:szCs w:val="21"/>
        </w:rPr>
      </w:pPr>
    </w:p>
    <w:p w14:paraId="1A4A08B8">
      <w:pPr>
        <w:pStyle w:val="40"/>
        <w:rPr>
          <w:rFonts w:hint="eastAsia" w:hAnsi="宋体"/>
          <w:szCs w:val="21"/>
        </w:rPr>
      </w:pPr>
    </w:p>
    <w:p w14:paraId="253D3810">
      <w:pPr>
        <w:pStyle w:val="40"/>
        <w:rPr>
          <w:rFonts w:hint="eastAsia" w:hAnsi="宋体"/>
          <w:szCs w:val="21"/>
        </w:rPr>
        <w:sectPr>
          <w:headerReference r:id="rId6" w:type="default"/>
          <w:footerReference r:id="rId7" w:type="default"/>
          <w:pgSz w:w="11906" w:h="16838"/>
          <w:pgMar w:top="1440" w:right="1800" w:bottom="1440" w:left="1800" w:header="1418" w:footer="1134" w:gutter="0"/>
          <w:pgNumType w:fmt="upperRoman" w:start="1"/>
          <w:cols w:space="720" w:num="1"/>
          <w:formProt w:val="0"/>
          <w:docGrid w:type="lines" w:linePitch="312" w:charSpace="0"/>
        </w:sectPr>
      </w:pPr>
    </w:p>
    <w:p w14:paraId="389C80A6">
      <w:pPr>
        <w:pStyle w:val="43"/>
        <w:spacing w:before="312" w:after="312"/>
        <w:rPr>
          <w:rFonts w:hint="eastAsia" w:ascii="黑体" w:hAnsi="黑体" w:eastAsia="黑体" w:cs="黑体"/>
          <w:szCs w:val="21"/>
        </w:rPr>
      </w:pPr>
      <w:bookmarkStart w:id="26" w:name="_Toc513731110"/>
      <w:r>
        <w:rPr>
          <w:rFonts w:hint="eastAsia" w:ascii="黑体" w:hAnsi="黑体" w:eastAsia="黑体" w:cs="黑体"/>
          <w:szCs w:val="21"/>
        </w:rPr>
        <w:t>1 编制背景</w:t>
      </w:r>
      <w:bookmarkEnd w:id="26"/>
    </w:p>
    <w:p w14:paraId="56AE08C1">
      <w:pPr>
        <w:pStyle w:val="40"/>
      </w:pPr>
      <w:r>
        <w:rPr>
          <w:rFonts w:hint="eastAsia"/>
        </w:rPr>
        <w:t>本标准是根据中国电机工程学会文件</w:t>
      </w:r>
      <w:bookmarkStart w:id="27" w:name="_Hlk192339786"/>
      <w:r>
        <w:rPr>
          <w:rFonts w:hint="eastAsia"/>
        </w:rPr>
        <w:t>电机咨[202</w:t>
      </w:r>
      <w:r>
        <w:rPr>
          <w:rFonts w:hint="eastAsia"/>
          <w:lang w:val="en-US" w:eastAsia="zh-CN"/>
        </w:rPr>
        <w:t>5</w:t>
      </w:r>
      <w:r>
        <w:rPr>
          <w:rFonts w:hint="eastAsia"/>
        </w:rPr>
        <w:t>]</w:t>
      </w:r>
      <w:r>
        <w:rPr>
          <w:rFonts w:hint="eastAsia"/>
          <w:lang w:val="en-US" w:eastAsia="zh-CN"/>
        </w:rPr>
        <w:t>738</w:t>
      </w:r>
      <w:r>
        <w:rPr>
          <w:rFonts w:hint="eastAsia"/>
        </w:rPr>
        <w:t>号</w:t>
      </w:r>
      <w:bookmarkEnd w:id="27"/>
      <w:r>
        <w:rPr>
          <w:rFonts w:hint="eastAsia"/>
        </w:rPr>
        <w:t>文，“中国电机工程学会关于印发‘中国电机工程学会 202</w:t>
      </w:r>
      <w:r>
        <w:rPr>
          <w:rFonts w:hint="eastAsia"/>
          <w:lang w:val="en-US" w:eastAsia="zh-CN"/>
        </w:rPr>
        <w:t>5</w:t>
      </w:r>
      <w:r>
        <w:rPr>
          <w:rFonts w:hint="eastAsia"/>
        </w:rPr>
        <w:t xml:space="preserve"> 年标准计划（第二批）’的通知”下达的制定任务，项目序号</w:t>
      </w:r>
      <w:r>
        <w:t>202</w:t>
      </w:r>
      <w:r>
        <w:rPr>
          <w:rFonts w:hint="eastAsia"/>
          <w:lang w:val="en-US" w:eastAsia="zh-CN"/>
        </w:rPr>
        <w:t>512120003</w:t>
      </w:r>
      <w:r>
        <w:rPr>
          <w:rFonts w:hint="eastAsia"/>
        </w:rPr>
        <w:t>，对“用于架空线路的多无人机协同巡检航迹规划</w:t>
      </w:r>
      <w:r>
        <w:rPr>
          <w:rFonts w:hint="eastAsia"/>
          <w:lang w:val="en-US" w:eastAsia="zh-CN"/>
        </w:rPr>
        <w:t>标准</w:t>
      </w:r>
      <w:r>
        <w:rPr>
          <w:rFonts w:hint="eastAsia"/>
        </w:rPr>
        <w:t>”团体标准进行制定的。由</w:t>
      </w:r>
      <w:r>
        <w:rPr>
          <w:rFonts w:hint="eastAsia"/>
          <w:lang w:val="en-US" w:eastAsia="zh-CN"/>
        </w:rPr>
        <w:t>国网青海省电力</w:t>
      </w:r>
      <w:r>
        <w:rPr>
          <w:rFonts w:hint="eastAsia"/>
        </w:rPr>
        <w:t>公司</w:t>
      </w:r>
      <w:r>
        <w:rPr>
          <w:rFonts w:hint="eastAsia"/>
          <w:lang w:val="en-US" w:eastAsia="zh-CN"/>
        </w:rPr>
        <w:t>海北供电公司</w:t>
      </w:r>
      <w:r>
        <w:rPr>
          <w:rFonts w:hint="eastAsia"/>
        </w:rPr>
        <w:t>负责起草。</w:t>
      </w:r>
    </w:p>
    <w:p w14:paraId="248EDF18">
      <w:pPr>
        <w:pStyle w:val="40"/>
        <w:autoSpaceDE/>
        <w:autoSpaceDN/>
        <w:ind w:firstLine="420" w:firstLineChars="200"/>
        <w:rPr>
          <w:rFonts w:hint="eastAsia"/>
          <w:lang w:eastAsia="zh-CN"/>
        </w:rPr>
      </w:pPr>
      <w:r>
        <w:rPr>
          <w:rFonts w:hint="eastAsia"/>
          <w:lang w:eastAsia="zh-CN"/>
        </w:rPr>
        <w:t>无人机技术的发展使得其在架空线路巡检中得到了广泛应用。随着线路覆盖范围扩张和故障类型多样化，单无人机巡检效率低、应变能力不足的问题愈发明显。携带不同类型传感器的无人机在巡检过程中能够针对架空线路的不同检测需求，完成温度异常、线路损坏或外部隐患等不同监测任务。红外、可见光、紫外以及激光雷达这四类传感器覆盖了架空线路全部检测任务。在多无人机协同巡检作业中，每架无人机搭载不同的传感器，并利用传感器各自具有的特定功能和优势，从多个维度对架空线路进行综合巡检，能够快速检测架空线路中的各类故障目标，显著提升巡检效率，已成为架空线路巡检发展的必然趋势。</w:t>
      </w:r>
    </w:p>
    <w:p w14:paraId="0AE7FCD2">
      <w:pPr>
        <w:pStyle w:val="40"/>
        <w:autoSpaceDE/>
        <w:autoSpaceDN/>
        <w:ind w:firstLine="420" w:firstLineChars="200"/>
        <w:rPr>
          <w:rFonts w:hint="eastAsia" w:hAnsi="Times New Roman"/>
          <w:lang w:eastAsia="zh-CN"/>
        </w:rPr>
      </w:pPr>
      <w:r>
        <w:rPr>
          <w:rFonts w:hint="eastAsia"/>
          <w:lang w:eastAsia="zh-CN"/>
        </w:rPr>
        <w:t>通过多无人机协同作业与智能航迹规划，可以实现对大范围、长距离输电线路的高效覆盖，显著提升巡检数据的完整性与准确性。规范化的航迹规划也可有效避免无人机之间、无人机与电力设施之间的碰撞风险，增强巡检过程的安全性。目前，国内外在多无人机协同巡检方面的标准尚属空白，本标准的制定将填补该领域技术规范的缺失，推动行业健康发展。本项目结合人工智能、数字孪生等先进技术，推动电力巡检从“单机作业”向“集群智能”转型升级，为构建新型电力系统提供技术支撑。本标准的实施将推动电力巡检从“单机作业”向“集群智能”转型，大幅提升巡检效率与数据质量，降低人工巡检成本与安全风险。通过标准化促进无人机产业链协同发展，带动相关装备制造、数据处理与运维服务产业升级，为构建新型电力系统提供技术支撑，助力能源行业绿色低碳转型。</w:t>
      </w:r>
    </w:p>
    <w:p w14:paraId="67F3D1FE">
      <w:pPr>
        <w:pStyle w:val="40"/>
        <w:autoSpaceDE/>
        <w:autoSpaceDN/>
        <w:ind w:firstLine="420" w:firstLineChars="200"/>
        <w:rPr>
          <w:rFonts w:hint="eastAsia" w:hAnsi="Times New Roman"/>
        </w:rPr>
      </w:pPr>
      <w:r>
        <w:rPr>
          <w:rFonts w:hint="eastAsia" w:hAnsi="Times New Roman"/>
        </w:rPr>
        <w:t>本项目旨在规范多无人机系统在架空输电线路巡检中的航迹规划流程、任务分配机制、安全间隔控制、协同作业流程等关键技术要求，以实现巡检任务的高效、安全、智能执行。</w:t>
      </w:r>
    </w:p>
    <w:p w14:paraId="6D92C255">
      <w:pPr>
        <w:pStyle w:val="43"/>
        <w:spacing w:before="312" w:after="312"/>
        <w:rPr>
          <w:rFonts w:hint="eastAsia" w:ascii="黑体" w:hAnsi="黑体" w:eastAsia="黑体" w:cs="黑体"/>
          <w:szCs w:val="21"/>
        </w:rPr>
      </w:pPr>
      <w:bookmarkStart w:id="28" w:name="_Toc513731111"/>
      <w:r>
        <w:rPr>
          <w:rFonts w:hint="eastAsia" w:ascii="黑体" w:hAnsi="黑体" w:eastAsia="黑体" w:cs="黑体"/>
          <w:szCs w:val="21"/>
        </w:rPr>
        <w:t>2 编制主要原则</w:t>
      </w:r>
      <w:bookmarkEnd w:id="28"/>
    </w:p>
    <w:p w14:paraId="32361823">
      <w:pPr>
        <w:pStyle w:val="45"/>
        <w:numPr>
          <w:ilvl w:val="0"/>
          <w:numId w:val="0"/>
        </w:numPr>
        <w:spacing w:before="156" w:beforeLines="50" w:after="156" w:afterLines="50"/>
      </w:pPr>
      <w:r>
        <w:rPr>
          <w:rFonts w:hint="eastAsia"/>
        </w:rPr>
        <w:t>2.1 规范性</w:t>
      </w:r>
    </w:p>
    <w:p w14:paraId="611EA035">
      <w:pPr>
        <w:pStyle w:val="40"/>
      </w:pPr>
      <w:r>
        <w:rPr>
          <w:rFonts w:hint="eastAsia"/>
        </w:rPr>
        <w:t>本标准的编制按照GB/T 1.1—2020《标准化工作导则 第1部分：标准化文件的结构和起草规则》等进行，使标准更严谨、更规范。标准制定流程遵循学会标准化程序，包括立项、起草、征求意见、送审报批等环节，以保证标准的权威性</w:t>
      </w:r>
      <w:r>
        <w:rPr>
          <w:rFonts w:ascii="Times New Roman"/>
        </w:rPr>
        <w:t>‌</w:t>
      </w:r>
      <w:r>
        <w:rPr>
          <w:rFonts w:hint="eastAsia" w:ascii="Times New Roman"/>
        </w:rPr>
        <w:t>。</w:t>
      </w:r>
    </w:p>
    <w:p w14:paraId="1F62B0CF">
      <w:pPr>
        <w:pStyle w:val="45"/>
        <w:numPr>
          <w:ilvl w:val="0"/>
          <w:numId w:val="0"/>
        </w:numPr>
        <w:spacing w:before="156" w:beforeLines="50" w:after="156" w:afterLines="50"/>
      </w:pPr>
      <w:r>
        <w:rPr>
          <w:rFonts w:hint="eastAsia"/>
        </w:rPr>
        <w:t>2.2科学性</w:t>
      </w:r>
    </w:p>
    <w:p w14:paraId="593A05B5">
      <w:pPr>
        <w:pStyle w:val="40"/>
      </w:pPr>
      <w:r>
        <w:rPr>
          <w:rFonts w:hint="eastAsia"/>
        </w:rPr>
        <w:t>本标准是根据</w:t>
      </w:r>
      <w:r>
        <w:rPr>
          <w:rFonts w:hint="eastAsia"/>
          <w:lang w:val="en-US" w:eastAsia="zh-CN"/>
        </w:rPr>
        <w:t>航迹规划缺乏系统性规范，多无人机协同巡检缺乏统一的航迹设计原则、任务分配方法和安全间隔标准等，导致作业效率低下、安全隐患突出的</w:t>
      </w:r>
      <w:r>
        <w:rPr>
          <w:rFonts w:hint="eastAsia"/>
        </w:rPr>
        <w:t>现存问题，基于</w:t>
      </w:r>
      <w:r>
        <w:rPr>
          <w:rFonts w:hint="eastAsia"/>
          <w:lang w:val="en-US" w:eastAsia="zh-CN"/>
        </w:rPr>
        <w:t>国网青海省电力公司海北供电公司、国网青海省电力公司、国网青海省电力公司电力科学研究院、国网青海省电力公司超高压公司等</w:t>
      </w:r>
      <w:r>
        <w:rPr>
          <w:rFonts w:hint="eastAsia"/>
        </w:rPr>
        <w:t>对</w:t>
      </w:r>
      <w:r>
        <w:rPr>
          <w:rFonts w:hint="eastAsia"/>
          <w:lang w:val="en-US" w:eastAsia="zh-CN"/>
        </w:rPr>
        <w:t>特殊环境下的电力巡检方面的丰富经验</w:t>
      </w:r>
      <w:r>
        <w:rPr>
          <w:rFonts w:hint="eastAsia"/>
        </w:rPr>
        <w:t>，</w:t>
      </w:r>
      <w:r>
        <w:rPr>
          <w:rFonts w:hint="eastAsia"/>
          <w:lang w:val="en-US" w:eastAsia="zh-CN"/>
        </w:rPr>
        <w:t>参考相关现有标准内容</w:t>
      </w:r>
      <w:r>
        <w:rPr>
          <w:rFonts w:hint="eastAsia"/>
        </w:rPr>
        <w:t>的相关要求进行编制的，以确保标准内容的准确性。</w:t>
      </w:r>
    </w:p>
    <w:p w14:paraId="448FCD87">
      <w:pPr>
        <w:pStyle w:val="45"/>
        <w:numPr>
          <w:ilvl w:val="0"/>
          <w:numId w:val="0"/>
        </w:numPr>
        <w:spacing w:before="156" w:beforeLines="50" w:after="156" w:afterLines="50"/>
      </w:pPr>
      <w:r>
        <w:rPr>
          <w:rFonts w:hint="eastAsia"/>
        </w:rPr>
        <w:t>2.3适用性</w:t>
      </w:r>
    </w:p>
    <w:p w14:paraId="187A814A">
      <w:pPr>
        <w:pStyle w:val="40"/>
      </w:pPr>
      <w:r>
        <w:rPr>
          <w:rFonts w:hint="eastAsia"/>
        </w:rPr>
        <w:t>本标准的编制立足于行业实际需求，以</w:t>
      </w:r>
      <w:r>
        <w:rPr>
          <w:rFonts w:hint="eastAsia"/>
          <w:lang w:eastAsia="zh-CN"/>
        </w:rPr>
        <w:t>电力作业用纤维增强复合材料空心圆杆</w:t>
      </w:r>
      <w:r>
        <w:rPr>
          <w:rFonts w:hint="eastAsia"/>
          <w:lang w:val="en-US" w:eastAsia="zh-CN"/>
        </w:rPr>
        <w:t>的</w:t>
      </w:r>
      <w:r>
        <w:rPr>
          <w:rFonts w:hint="eastAsia"/>
          <w:lang w:eastAsia="zh-CN"/>
        </w:rPr>
        <w:t>轴向弯曲与工频耐受电压组合试验方法</w:t>
      </w:r>
      <w:r>
        <w:rPr>
          <w:rFonts w:hint="eastAsia"/>
          <w:lang w:val="en-US" w:eastAsia="zh-CN"/>
        </w:rPr>
        <w:t>科学指导</w:t>
      </w:r>
      <w:r>
        <w:rPr>
          <w:rFonts w:hint="eastAsia"/>
        </w:rPr>
        <w:t>需求为导向，解决</w:t>
      </w:r>
      <w:r>
        <w:rPr>
          <w:rFonts w:hint="eastAsia"/>
          <w:lang w:val="en-US" w:eastAsia="zh-CN"/>
        </w:rPr>
        <w:t>目前参考试验方法标准无法完全适用、多无人机在相同空域内航迹交叉、时序冲突</w:t>
      </w:r>
      <w:r>
        <w:rPr>
          <w:rFonts w:hint="eastAsia"/>
        </w:rPr>
        <w:t>等问题，标准适用性强。</w:t>
      </w:r>
    </w:p>
    <w:p w14:paraId="14D4BE94">
      <w:pPr>
        <w:pStyle w:val="45"/>
        <w:numPr>
          <w:ilvl w:val="0"/>
          <w:numId w:val="0"/>
        </w:numPr>
        <w:spacing w:before="156" w:beforeLines="50" w:after="156" w:afterLines="50"/>
      </w:pPr>
      <w:r>
        <w:rPr>
          <w:rFonts w:hint="eastAsia"/>
        </w:rPr>
        <w:t>2.3 协调性</w:t>
      </w:r>
    </w:p>
    <w:p w14:paraId="409FF5ED">
      <w:pPr>
        <w:pStyle w:val="40"/>
      </w:pPr>
      <w:r>
        <w:rPr>
          <w:rFonts w:hint="eastAsia"/>
        </w:rPr>
        <w:t>本标准在起草过程中注意了与有关法律法规、相关行业指导文件及规范政策、强制性国家标准、行业标准的协调，没有互相矛盾的内容。及时响应智能化技术迭代及政策变化，与现有</w:t>
      </w:r>
      <w:r>
        <w:rPr>
          <w:rFonts w:hint="eastAsia"/>
          <w:lang w:val="en-US" w:eastAsia="zh-CN"/>
        </w:rPr>
        <w:t>架空线路的无人机协同巡检航迹规划</w:t>
      </w:r>
      <w:r>
        <w:rPr>
          <w:rFonts w:hint="eastAsia"/>
        </w:rPr>
        <w:t>系统相关标准体系相互协调，互成一体。</w:t>
      </w:r>
    </w:p>
    <w:p w14:paraId="78C1B431">
      <w:pPr>
        <w:pStyle w:val="43"/>
        <w:spacing w:before="312" w:after="312"/>
        <w:rPr>
          <w:rFonts w:hint="eastAsia" w:ascii="宋体" w:hAnsi="宋体"/>
          <w:szCs w:val="21"/>
        </w:rPr>
      </w:pPr>
      <w:bookmarkStart w:id="29" w:name="_Toc513731112"/>
      <w:r>
        <w:rPr>
          <w:rFonts w:hint="eastAsia" w:ascii="黑体" w:hAnsi="黑体" w:eastAsia="黑体" w:cs="黑体"/>
          <w:szCs w:val="21"/>
        </w:rPr>
        <w:t>3</w:t>
      </w:r>
      <w:r>
        <w:rPr>
          <w:rFonts w:hint="eastAsia" w:ascii="宋体" w:hAnsi="宋体"/>
          <w:szCs w:val="21"/>
        </w:rPr>
        <w:t xml:space="preserve"> 主要工作过程</w:t>
      </w:r>
      <w:bookmarkEnd w:id="29"/>
    </w:p>
    <w:p w14:paraId="04A2C0D5">
      <w:pPr>
        <w:pStyle w:val="45"/>
        <w:numPr>
          <w:ilvl w:val="0"/>
          <w:numId w:val="0"/>
        </w:numPr>
        <w:spacing w:before="156" w:beforeLines="50" w:after="156" w:afterLines="50"/>
      </w:pPr>
      <w:r>
        <w:rPr>
          <w:rFonts w:hint="eastAsia"/>
        </w:rPr>
        <w:t>3.1前期工作</w:t>
      </w:r>
    </w:p>
    <w:p w14:paraId="72CC51BD">
      <w:pPr>
        <w:pStyle w:val="40"/>
      </w:pPr>
      <w:r>
        <w:rPr>
          <w:rFonts w:hint="eastAsia"/>
        </w:rPr>
        <w:t>（1）成立标准编制工作组：202</w:t>
      </w:r>
      <w:r>
        <w:rPr>
          <w:rFonts w:hint="eastAsia"/>
          <w:lang w:val="en-US" w:eastAsia="zh-CN"/>
        </w:rPr>
        <w:t>5</w:t>
      </w:r>
      <w:r>
        <w:rPr>
          <w:rFonts w:hint="eastAsia"/>
        </w:rPr>
        <w:t>年</w:t>
      </w:r>
      <w:r>
        <w:rPr>
          <w:rFonts w:hint="eastAsia"/>
          <w:lang w:val="en-US" w:eastAsia="zh-CN"/>
        </w:rPr>
        <w:t>6</w:t>
      </w:r>
      <w:r>
        <w:rPr>
          <w:rFonts w:hint="eastAsia"/>
        </w:rPr>
        <w:t>月起，标准发起单位</w:t>
      </w:r>
      <w:r>
        <w:rPr>
          <w:rFonts w:hint="eastAsia"/>
          <w:lang w:val="en-US" w:eastAsia="zh-CN"/>
        </w:rPr>
        <w:t>国网青海省电力公司海北供电公司、国网青海省电力公司、国网青海省电力公司电力科学研究院、国网青海省电力公司超高压公司</w:t>
      </w:r>
      <w:r>
        <w:rPr>
          <w:rFonts w:hint="eastAsia"/>
        </w:rPr>
        <w:t>等参与单位着手进行编制准备。为保证标准编制工作的顺利开展，成立标准编制工作组。</w:t>
      </w:r>
    </w:p>
    <w:p w14:paraId="2368BFDD">
      <w:pPr>
        <w:pStyle w:val="40"/>
      </w:pPr>
      <w:r>
        <w:rPr>
          <w:rFonts w:hint="eastAsia"/>
        </w:rPr>
        <w:t>（2）调查研究和收集资料：202</w:t>
      </w:r>
      <w:r>
        <w:rPr>
          <w:rFonts w:hint="eastAsia"/>
          <w:lang w:val="en-US" w:eastAsia="zh-CN"/>
        </w:rPr>
        <w:t>5</w:t>
      </w:r>
      <w:r>
        <w:rPr>
          <w:rFonts w:hint="eastAsia"/>
        </w:rPr>
        <w:t>年</w:t>
      </w:r>
      <w:r>
        <w:rPr>
          <w:rFonts w:hint="eastAsia"/>
          <w:lang w:val="en-US" w:eastAsia="zh-CN"/>
        </w:rPr>
        <w:t>6</w:t>
      </w:r>
      <w:r>
        <w:rPr>
          <w:rFonts w:hint="eastAsia"/>
        </w:rPr>
        <w:t>月至</w:t>
      </w:r>
      <w:r>
        <w:rPr>
          <w:rFonts w:hint="eastAsia"/>
          <w:lang w:val="en-US" w:eastAsia="zh-CN"/>
        </w:rPr>
        <w:t>7</w:t>
      </w:r>
      <w:r>
        <w:rPr>
          <w:rFonts w:hint="eastAsia"/>
        </w:rPr>
        <w:t>月，工作组组织多次讨论会议，并与相关企业及标准研究机构展开交流，对</w:t>
      </w:r>
      <w:r>
        <w:rPr>
          <w:rFonts w:hint="eastAsia"/>
          <w:lang w:eastAsia="zh-CN"/>
        </w:rPr>
        <w:t>用于架空线路的多无人机协同巡检航迹规划</w:t>
      </w:r>
      <w:r>
        <w:rPr>
          <w:rFonts w:hint="eastAsia"/>
        </w:rPr>
        <w:t>国内外发展及应用等相关资料进行了收集与整理，系统梳理</w:t>
      </w:r>
      <w:r>
        <w:rPr>
          <w:rFonts w:hint="eastAsia"/>
          <w:lang w:eastAsia="zh-CN"/>
        </w:rPr>
        <w:t>了</w:t>
      </w:r>
      <w:r>
        <w:rPr>
          <w:rFonts w:hint="eastAsia"/>
          <w:lang w:val="en-US" w:eastAsia="zh-CN"/>
        </w:rPr>
        <w:t>相关</w:t>
      </w:r>
      <w:r>
        <w:rPr>
          <w:rFonts w:hint="eastAsia"/>
        </w:rPr>
        <w:t>核心信息。</w:t>
      </w:r>
    </w:p>
    <w:p w14:paraId="04955309">
      <w:pPr>
        <w:pStyle w:val="40"/>
        <w:rPr>
          <w:rFonts w:hint="eastAsia"/>
        </w:rPr>
      </w:pPr>
      <w:r>
        <w:rPr>
          <w:rFonts w:hint="eastAsia"/>
        </w:rPr>
        <w:t>（3）初稿编制：202</w:t>
      </w:r>
      <w:r>
        <w:rPr>
          <w:rFonts w:hint="eastAsia"/>
          <w:lang w:val="en-US" w:eastAsia="zh-CN"/>
        </w:rPr>
        <w:t>5</w:t>
      </w:r>
      <w:r>
        <w:rPr>
          <w:rFonts w:hint="eastAsia"/>
        </w:rPr>
        <w:t>年</w:t>
      </w:r>
      <w:r>
        <w:rPr>
          <w:rFonts w:hint="eastAsia"/>
          <w:lang w:val="en-US" w:eastAsia="zh-CN"/>
        </w:rPr>
        <w:t>8</w:t>
      </w:r>
      <w:r>
        <w:rPr>
          <w:rFonts w:hint="eastAsia"/>
        </w:rPr>
        <w:t>月至</w:t>
      </w:r>
      <w:r>
        <w:rPr>
          <w:rFonts w:hint="eastAsia"/>
          <w:lang w:val="en-US" w:eastAsia="zh-CN"/>
        </w:rPr>
        <w:t>9</w:t>
      </w:r>
      <w:r>
        <w:rPr>
          <w:rFonts w:hint="eastAsia"/>
        </w:rPr>
        <w:t>月，在前期项目研究、文献资料分析、信息调研的基础上，工作组确立了标准结构，形成标准草案。</w:t>
      </w:r>
    </w:p>
    <w:p w14:paraId="6F9F3A43">
      <w:pPr>
        <w:pStyle w:val="45"/>
        <w:numPr>
          <w:ilvl w:val="0"/>
          <w:numId w:val="0"/>
        </w:numPr>
        <w:spacing w:before="156" w:beforeLines="50" w:after="156" w:afterLines="50"/>
      </w:pPr>
      <w:r>
        <w:rPr>
          <w:rFonts w:hint="eastAsia"/>
        </w:rPr>
        <w:t>3.2标准立项</w:t>
      </w:r>
    </w:p>
    <w:p w14:paraId="4A8B0CCF">
      <w:pPr>
        <w:pStyle w:val="40"/>
      </w:pPr>
      <w:r>
        <w:rPr>
          <w:rFonts w:hint="eastAsia"/>
        </w:rPr>
        <w:t>202</w:t>
      </w:r>
      <w:r>
        <w:rPr>
          <w:rFonts w:hint="eastAsia"/>
          <w:lang w:val="en-US" w:eastAsia="zh-CN"/>
        </w:rPr>
        <w:t>5</w:t>
      </w:r>
      <w:r>
        <w:rPr>
          <w:rFonts w:hint="eastAsia"/>
        </w:rPr>
        <w:t>年</w:t>
      </w:r>
      <w:r>
        <w:rPr>
          <w:rFonts w:hint="eastAsia"/>
          <w:lang w:val="en-US" w:eastAsia="zh-CN"/>
        </w:rPr>
        <w:t>10</w:t>
      </w:r>
      <w:r>
        <w:rPr>
          <w:rFonts w:hint="eastAsia"/>
        </w:rPr>
        <w:t xml:space="preserve">月，标准发起单位向中国电机工程学会提起立项申请，经专家质询与讨论一致同意通过该团体标准立项，并提出如下修改意见：(1) </w:t>
      </w:r>
      <w:r>
        <w:rPr>
          <w:rFonts w:hint="eastAsia"/>
          <w:lang w:val="en-US" w:eastAsia="zh-CN"/>
        </w:rPr>
        <w:t>需要对航迹规划、多机协同明确具体要求</w:t>
      </w:r>
      <w:r>
        <w:rPr>
          <w:rFonts w:hint="eastAsia"/>
        </w:rPr>
        <w:t>；(2)</w:t>
      </w:r>
      <w:r>
        <w:rPr>
          <w:rFonts w:hint="eastAsia"/>
          <w:lang w:val="en-US" w:eastAsia="zh-CN"/>
        </w:rPr>
        <w:t>完善相关技术内容</w:t>
      </w:r>
      <w:r>
        <w:rPr>
          <w:rFonts w:hint="eastAsia"/>
        </w:rPr>
        <w:t>；(3) 按照 GB/T</w:t>
      </w:r>
      <w:r>
        <w:rPr>
          <w:rFonts w:hint="eastAsia"/>
          <w:lang w:val="en-US" w:eastAsia="zh-CN"/>
        </w:rPr>
        <w:t xml:space="preserve"> 1.1</w:t>
      </w:r>
      <w:r>
        <w:rPr>
          <w:rFonts w:hint="eastAsia"/>
        </w:rPr>
        <w:t xml:space="preserve">的要求进行编制。 </w:t>
      </w:r>
    </w:p>
    <w:p w14:paraId="53772D67">
      <w:pPr>
        <w:pStyle w:val="40"/>
      </w:pPr>
      <w:r>
        <w:rPr>
          <w:rFonts w:hint="eastAsia"/>
        </w:rPr>
        <w:t>202</w:t>
      </w:r>
      <w:r>
        <w:rPr>
          <w:rFonts w:hint="eastAsia"/>
          <w:lang w:val="en-US" w:eastAsia="zh-CN"/>
        </w:rPr>
        <w:t>5</w:t>
      </w:r>
      <w:r>
        <w:rPr>
          <w:rFonts w:hint="eastAsia"/>
        </w:rPr>
        <w:t>年</w:t>
      </w:r>
      <w:r>
        <w:rPr>
          <w:rFonts w:hint="eastAsia"/>
          <w:lang w:val="en-US" w:eastAsia="zh-CN"/>
        </w:rPr>
        <w:t>12</w:t>
      </w:r>
      <w:r>
        <w:rPr>
          <w:rFonts w:hint="eastAsia"/>
        </w:rPr>
        <w:t>月</w:t>
      </w:r>
      <w:r>
        <w:rPr>
          <w:rFonts w:hint="eastAsia"/>
          <w:lang w:val="en-US" w:eastAsia="zh-CN"/>
        </w:rPr>
        <w:t>30</w:t>
      </w:r>
      <w:r>
        <w:rPr>
          <w:rFonts w:hint="eastAsia"/>
        </w:rPr>
        <w:t>日，中国电机工程学会发布《中国电机工程学会关于印发“中国电机工程学会 202</w:t>
      </w:r>
      <w:r>
        <w:rPr>
          <w:rFonts w:hint="eastAsia"/>
          <w:lang w:val="en-US" w:eastAsia="zh-CN"/>
        </w:rPr>
        <w:t>5</w:t>
      </w:r>
      <w:r>
        <w:rPr>
          <w:rFonts w:hint="eastAsia"/>
        </w:rPr>
        <w:t xml:space="preserve"> 年标准计划（第二批）”的通知》（电机咨[202</w:t>
      </w:r>
      <w:r>
        <w:rPr>
          <w:rFonts w:hint="eastAsia"/>
          <w:lang w:val="en-US" w:eastAsia="zh-CN"/>
        </w:rPr>
        <w:t>5</w:t>
      </w:r>
      <w:r>
        <w:rPr>
          <w:rFonts w:hint="eastAsia"/>
        </w:rPr>
        <w:t>]</w:t>
      </w:r>
      <w:r>
        <w:rPr>
          <w:rFonts w:hint="eastAsia"/>
          <w:lang w:val="en-US" w:eastAsia="zh-CN"/>
        </w:rPr>
        <w:t>5738</w:t>
      </w:r>
      <w:r>
        <w:rPr>
          <w:rFonts w:hint="eastAsia"/>
        </w:rPr>
        <w:t>号），该标准位列其中，正式批准立项。</w:t>
      </w:r>
    </w:p>
    <w:p w14:paraId="1E1597D8">
      <w:pPr>
        <w:pStyle w:val="45"/>
        <w:numPr>
          <w:ilvl w:val="0"/>
          <w:numId w:val="0"/>
        </w:numPr>
        <w:spacing w:before="156" w:beforeLines="50" w:after="156" w:afterLines="50"/>
      </w:pPr>
      <w:r>
        <w:rPr>
          <w:rFonts w:hint="eastAsia"/>
        </w:rPr>
        <w:t>3.3预征求意见</w:t>
      </w:r>
    </w:p>
    <w:p w14:paraId="56EF0E63">
      <w:pPr>
        <w:pStyle w:val="40"/>
        <w:rPr>
          <w:rFonts w:hint="eastAsia"/>
        </w:rPr>
      </w:pPr>
      <w:r>
        <w:rPr>
          <w:rFonts w:hint="eastAsia"/>
        </w:rPr>
        <w:t>标准立项后，标准编制工作组召开内部</w:t>
      </w:r>
      <w:r>
        <w:rPr>
          <w:rFonts w:hint="eastAsia"/>
          <w:lang w:val="en-US" w:eastAsia="zh-CN"/>
        </w:rPr>
        <w:t>启动</w:t>
      </w:r>
      <w:r>
        <w:rPr>
          <w:rFonts w:hint="eastAsia"/>
        </w:rPr>
        <w:t>会，不断收集、完善标准相关内容</w:t>
      </w:r>
      <w:r>
        <w:rPr>
          <w:rFonts w:hint="eastAsia"/>
          <w:lang w:eastAsia="zh-CN"/>
        </w:rPr>
        <w:t>，</w:t>
      </w:r>
      <w:r>
        <w:rPr>
          <w:rFonts w:hint="eastAsia"/>
        </w:rPr>
        <w:t>计划202</w:t>
      </w:r>
      <w:r>
        <w:rPr>
          <w:rFonts w:hint="eastAsia"/>
          <w:lang w:val="en-US" w:eastAsia="zh-CN"/>
        </w:rPr>
        <w:t>6</w:t>
      </w:r>
      <w:r>
        <w:rPr>
          <w:rFonts w:hint="eastAsia"/>
        </w:rPr>
        <w:t>年</w:t>
      </w:r>
      <w:r>
        <w:rPr>
          <w:rFonts w:hint="eastAsia"/>
          <w:lang w:val="en-US" w:eastAsia="zh-CN"/>
        </w:rPr>
        <w:t>4</w:t>
      </w:r>
      <w:r>
        <w:rPr>
          <w:rFonts w:hint="eastAsia"/>
        </w:rPr>
        <w:t>月形成</w:t>
      </w:r>
      <w:bookmarkStart w:id="30" w:name="_Hlk192345125"/>
      <w:r>
        <w:rPr>
          <w:rFonts w:hint="eastAsia"/>
        </w:rPr>
        <w:t>《</w:t>
      </w:r>
      <w:r>
        <w:rPr>
          <w:rFonts w:hint="eastAsia"/>
          <w:lang w:eastAsia="zh-CN"/>
        </w:rPr>
        <w:t>用于架空线路的多无人机协同巡检航迹规划标准</w:t>
      </w:r>
      <w:r>
        <w:rPr>
          <w:rFonts w:hint="eastAsia"/>
        </w:rPr>
        <w:t>》</w:t>
      </w:r>
      <w:bookmarkEnd w:id="30"/>
      <w:r>
        <w:rPr>
          <w:rFonts w:hint="eastAsia"/>
        </w:rPr>
        <w:t>(征求意见稿)及编制说明提交协会，经协会审核通过后正式进入征求意见阶段。</w:t>
      </w:r>
    </w:p>
    <w:p w14:paraId="15167D21">
      <w:pPr>
        <w:pStyle w:val="43"/>
        <w:spacing w:before="312" w:after="312"/>
        <w:rPr>
          <w:rFonts w:hint="eastAsia" w:ascii="黑体" w:hAnsi="黑体" w:eastAsia="黑体" w:cs="黑体"/>
          <w:szCs w:val="21"/>
        </w:rPr>
      </w:pPr>
      <w:bookmarkStart w:id="31" w:name="_Toc513731113"/>
      <w:r>
        <w:rPr>
          <w:rFonts w:hint="eastAsia" w:ascii="黑体" w:hAnsi="黑体" w:eastAsia="黑体" w:cs="黑体"/>
          <w:szCs w:val="21"/>
        </w:rPr>
        <w:t>4 标准结构和内容说明</w:t>
      </w:r>
      <w:bookmarkEnd w:id="31"/>
    </w:p>
    <w:p w14:paraId="14BA24F1">
      <w:pPr>
        <w:pStyle w:val="45"/>
        <w:numPr>
          <w:ilvl w:val="0"/>
          <w:numId w:val="0"/>
        </w:numPr>
        <w:spacing w:before="156" w:beforeLines="50" w:after="156" w:afterLines="50"/>
      </w:pPr>
      <w:r>
        <w:rPr>
          <w:rFonts w:hint="eastAsia"/>
        </w:rPr>
        <w:t>4.1适用范围</w:t>
      </w:r>
    </w:p>
    <w:p w14:paraId="539A121A">
      <w:pPr>
        <w:pStyle w:val="40"/>
        <w:ind w:firstLine="0" w:firstLineChars="0"/>
        <w:rPr>
          <w:rFonts w:hint="default" w:ascii="Times New Roman" w:hAnsi="Times New Roman" w:cs="Times New Roman"/>
        </w:rPr>
      </w:pPr>
      <w:r>
        <w:rPr>
          <w:rFonts w:hint="default" w:ascii="Times New Roman" w:hAnsi="Times New Roman" w:cs="Times New Roman"/>
        </w:rPr>
        <w:t>本标准规定了用于架空线路协同检测的多无人机系统航迹规划的要求。其中包括任务分配、航线设计、安全距离确定及其他相关安全措施。适用于1000 kV及以下交流架空线路和±800 kV及以下直流架空线路的多无人机系统协同巡检航迹规划。</w:t>
      </w:r>
    </w:p>
    <w:p w14:paraId="6FAAD848">
      <w:pPr>
        <w:pStyle w:val="45"/>
        <w:numPr>
          <w:ilvl w:val="0"/>
          <w:numId w:val="0"/>
        </w:numPr>
        <w:spacing w:before="156" w:beforeLines="50" w:after="156" w:afterLines="50"/>
      </w:pPr>
      <w:r>
        <w:rPr>
          <w:rFonts w:hint="eastAsia"/>
        </w:rPr>
        <w:t>4.2主要技术内容</w:t>
      </w:r>
    </w:p>
    <w:p w14:paraId="413C82D1">
      <w:pPr>
        <w:pStyle w:val="40"/>
      </w:pPr>
      <w:r>
        <w:rPr>
          <w:rFonts w:hint="eastAsia"/>
        </w:rPr>
        <w:t>（</w:t>
      </w:r>
      <w:r>
        <w:rPr>
          <w:rFonts w:hint="eastAsia"/>
          <w:lang w:val="en-US" w:eastAsia="zh-CN"/>
        </w:rPr>
        <w:t>1</w:t>
      </w:r>
      <w:r>
        <w:rPr>
          <w:rFonts w:hint="eastAsia"/>
        </w:rPr>
        <w:t>）</w:t>
      </w:r>
      <w:r>
        <w:rPr>
          <w:rFonts w:hint="eastAsia"/>
          <w:lang w:val="en-US" w:eastAsia="zh-CN"/>
        </w:rPr>
        <w:t>基本要求</w:t>
      </w:r>
      <w:r>
        <w:rPr>
          <w:rFonts w:hint="eastAsia"/>
        </w:rPr>
        <w:t>：对</w:t>
      </w:r>
      <w:r>
        <w:rPr>
          <w:rFonts w:hint="eastAsia"/>
          <w:lang w:val="en-US" w:eastAsia="zh-CN"/>
        </w:rPr>
        <w:t>多无人机系统的航迹规划的安全性、可靠性、高效性、经济性四项基本原则要求，以及航迹规划整体的基本要求与安全措施</w:t>
      </w:r>
      <w:r>
        <w:rPr>
          <w:rFonts w:hint="eastAsia"/>
        </w:rPr>
        <w:t>进行说明；</w:t>
      </w:r>
    </w:p>
    <w:p w14:paraId="6A24E1A9">
      <w:pPr>
        <w:pStyle w:val="40"/>
      </w:pPr>
      <w:r>
        <w:rPr>
          <w:rFonts w:hint="eastAsia"/>
        </w:rPr>
        <w:t>（</w:t>
      </w:r>
      <w:r>
        <w:rPr>
          <w:rFonts w:hint="eastAsia"/>
          <w:lang w:val="en-US" w:eastAsia="zh-CN"/>
        </w:rPr>
        <w:t>2</w:t>
      </w:r>
      <w:r>
        <w:rPr>
          <w:rFonts w:hint="eastAsia"/>
        </w:rPr>
        <w:t>）</w:t>
      </w:r>
      <w:r>
        <w:rPr>
          <w:rFonts w:hint="eastAsia"/>
          <w:lang w:val="en-US" w:eastAsia="zh-CN"/>
        </w:rPr>
        <w:t>巡检任务分配</w:t>
      </w:r>
      <w:r>
        <w:rPr>
          <w:rFonts w:hint="eastAsia"/>
        </w:rPr>
        <w:t>：对多无人机协同巡检航迹规划</w:t>
      </w:r>
      <w:r>
        <w:rPr>
          <w:rFonts w:hint="eastAsia"/>
          <w:lang w:val="en-US" w:eastAsia="zh-CN"/>
        </w:rPr>
        <w:t>的任务分解、任务要素及任务分配的具体要求进行了规定</w:t>
      </w:r>
      <w:r>
        <w:rPr>
          <w:rFonts w:hint="eastAsia"/>
        </w:rPr>
        <w:t>；</w:t>
      </w:r>
    </w:p>
    <w:p w14:paraId="25442188">
      <w:pPr>
        <w:pStyle w:val="40"/>
      </w:pPr>
      <w:r>
        <w:rPr>
          <w:rFonts w:hint="eastAsia"/>
        </w:rPr>
        <w:t>（</w:t>
      </w:r>
      <w:r>
        <w:rPr>
          <w:rFonts w:hint="eastAsia"/>
          <w:lang w:val="en-US" w:eastAsia="zh-CN"/>
        </w:rPr>
        <w:t>3</w:t>
      </w:r>
      <w:r>
        <w:rPr>
          <w:rFonts w:hint="eastAsia"/>
        </w:rPr>
        <w:t>）</w:t>
      </w:r>
      <w:r>
        <w:rPr>
          <w:rFonts w:hint="eastAsia"/>
          <w:lang w:val="en-US" w:eastAsia="zh-CN"/>
        </w:rPr>
        <w:t>航迹规划</w:t>
      </w:r>
      <w:r>
        <w:rPr>
          <w:rFonts w:hint="eastAsia"/>
        </w:rPr>
        <w:t>：对</w:t>
      </w:r>
      <w:r>
        <w:rPr>
          <w:rFonts w:hint="eastAsia"/>
          <w:lang w:val="en-US" w:eastAsia="zh-CN"/>
        </w:rPr>
        <w:t>多无人机协同巡检航迹规划的流程用流程图展示，并对资料准备、基于不同传感器的航迹规划、协同航迹规划、安全措施集成的各项试验流程作出了具体要求</w:t>
      </w:r>
      <w:r>
        <w:rPr>
          <w:rFonts w:hint="eastAsia"/>
        </w:rPr>
        <w:t>；</w:t>
      </w:r>
    </w:p>
    <w:p w14:paraId="2FA65068">
      <w:pPr>
        <w:pStyle w:val="40"/>
        <w:rPr>
          <w:rFonts w:hint="eastAsia" w:eastAsia="宋体"/>
          <w:lang w:eastAsia="zh-CN"/>
        </w:rPr>
      </w:pPr>
      <w:r>
        <w:rPr>
          <w:rFonts w:hint="eastAsia"/>
        </w:rPr>
        <w:t>（</w:t>
      </w:r>
      <w:r>
        <w:rPr>
          <w:rFonts w:hint="eastAsia"/>
          <w:lang w:val="en-US" w:eastAsia="zh-CN"/>
        </w:rPr>
        <w:t>4</w:t>
      </w:r>
      <w:r>
        <w:rPr>
          <w:rFonts w:hint="eastAsia"/>
        </w:rPr>
        <w:t>）</w:t>
      </w:r>
      <w:r>
        <w:rPr>
          <w:rFonts w:hint="eastAsia"/>
          <w:lang w:val="en-US" w:eastAsia="zh-CN"/>
        </w:rPr>
        <w:t>输出文件</w:t>
      </w:r>
      <w:r>
        <w:rPr>
          <w:rFonts w:hint="eastAsia"/>
        </w:rPr>
        <w:t>：对</w:t>
      </w:r>
      <w:r>
        <w:rPr>
          <w:rFonts w:hint="eastAsia"/>
          <w:lang w:val="en-US" w:eastAsia="zh-CN"/>
        </w:rPr>
        <w:t>多无人机协同巡检航迹规划的元数据内容及元数据格式作出了具体规定</w:t>
      </w:r>
      <w:r>
        <w:rPr>
          <w:rFonts w:hint="eastAsia"/>
          <w:lang w:eastAsia="zh-CN"/>
        </w:rPr>
        <w:t>。</w:t>
      </w:r>
    </w:p>
    <w:p w14:paraId="3525CE6B">
      <w:pPr>
        <w:pStyle w:val="43"/>
        <w:spacing w:before="312" w:after="312"/>
        <w:rPr>
          <w:rFonts w:hint="eastAsia" w:ascii="黑体" w:hAnsi="黑体" w:eastAsia="黑体" w:cs="黑体"/>
          <w:szCs w:val="21"/>
        </w:rPr>
      </w:pPr>
      <w:bookmarkStart w:id="32" w:name="_Toc513731114"/>
      <w:r>
        <w:rPr>
          <w:rFonts w:hint="eastAsia" w:ascii="黑体" w:hAnsi="黑体" w:eastAsia="黑体" w:cs="黑体"/>
          <w:szCs w:val="21"/>
        </w:rPr>
        <w:t>5相关标准对比说明</w:t>
      </w:r>
      <w:bookmarkEnd w:id="32"/>
    </w:p>
    <w:p w14:paraId="4C88BC61">
      <w:pPr>
        <w:pStyle w:val="40"/>
        <w:numPr>
          <w:ilvl w:val="0"/>
          <w:numId w:val="3"/>
        </w:numPr>
        <w:rPr>
          <w:rFonts w:hint="eastAsia"/>
          <w:lang w:val="en-US" w:eastAsia="zh-CN"/>
        </w:rPr>
      </w:pPr>
      <w:r>
        <w:rPr>
          <w:rFonts w:hint="eastAsia"/>
          <w:lang w:val="en-US" w:eastAsia="zh-CN"/>
        </w:rPr>
        <w:t>《架空输电线路无人机巡检作业技术导则》（DL/T 1482-2023）规定了架空输电线路无人机巡检的一般要求、巡检方式、巡检内容、巡检作业和巡检资料整理等。主要是对单个无人机架空输电线路巡检进行规范，无法完全适用于多无人机协同巡检情况。</w:t>
      </w:r>
    </w:p>
    <w:p w14:paraId="3D1CB728">
      <w:pPr>
        <w:pStyle w:val="40"/>
        <w:numPr>
          <w:ilvl w:val="0"/>
          <w:numId w:val="3"/>
        </w:numPr>
        <w:rPr>
          <w:rFonts w:hint="default"/>
          <w:lang w:val="en-US" w:eastAsia="zh-CN"/>
        </w:rPr>
      </w:pPr>
      <w:r>
        <w:rPr>
          <w:rFonts w:hint="eastAsia"/>
          <w:lang w:val="en-US" w:eastAsia="zh-CN"/>
        </w:rPr>
        <w:t>《架空输电线路无人机巡检数据自动采集及处理规范》（DL/T 2697-2023）中规定了架空输电线路无人机巡检数据自动采集及处理要求，包括可见光影像数据采集及处理、红外热图数据采集及处理、激光点云数据采集及处理、可见光点云数据采集及处理、数据存储与管理等。重点针对无人机数据采集与处理进行规范，仅包含多无人机协同航迹规划的其中一环。</w:t>
      </w:r>
    </w:p>
    <w:p w14:paraId="022B5F36">
      <w:pPr>
        <w:pStyle w:val="43"/>
        <w:spacing w:before="312" w:after="312"/>
        <w:rPr>
          <w:rFonts w:hint="eastAsia" w:ascii="黑体" w:hAnsi="黑体" w:eastAsia="黑体" w:cs="黑体"/>
          <w:szCs w:val="21"/>
        </w:rPr>
      </w:pPr>
      <w:bookmarkStart w:id="33" w:name="_Toc513731115"/>
      <w:r>
        <w:rPr>
          <w:rFonts w:hint="eastAsia" w:ascii="黑体" w:hAnsi="黑体" w:eastAsia="黑体" w:cs="黑体"/>
          <w:szCs w:val="21"/>
        </w:rPr>
        <w:t>6标准实施措施说明</w:t>
      </w:r>
      <w:bookmarkEnd w:id="33"/>
    </w:p>
    <w:p w14:paraId="2B8ACB62">
      <w:pPr>
        <w:pStyle w:val="40"/>
      </w:pPr>
      <w:r>
        <w:rPr>
          <w:rFonts w:hint="eastAsia"/>
        </w:rPr>
        <w:t>本标准发布后，标准发起单位</w:t>
      </w:r>
      <w:r>
        <w:rPr>
          <w:rFonts w:hint="eastAsia"/>
          <w:lang w:val="en-US" w:eastAsia="zh-CN"/>
        </w:rPr>
        <w:t>国网青海省电力有限公司海北供电公司</w:t>
      </w:r>
      <w:r>
        <w:rPr>
          <w:rFonts w:hint="eastAsia"/>
        </w:rPr>
        <w:t>将发挥行业领域带头作用，联合参与单位组织开展宣贯培训，高效协调行业内相关电力公司、</w:t>
      </w:r>
      <w:r>
        <w:rPr>
          <w:rFonts w:hint="eastAsia"/>
          <w:lang w:val="en-US" w:eastAsia="zh-CN"/>
        </w:rPr>
        <w:t>检测机构</w:t>
      </w:r>
      <w:r>
        <w:rPr>
          <w:rFonts w:hint="eastAsia"/>
        </w:rPr>
        <w:t>等单位参与标准学习，保障标准有效落地，并对标准实施成效作出充分的评估及持续改进。集团将第一时间落实标准内容，建立长效管理机制，确保落实到位。</w:t>
      </w:r>
    </w:p>
    <w:p w14:paraId="06A94AC4">
      <w:pPr>
        <w:pStyle w:val="40"/>
      </w:pPr>
      <w:r>
        <w:rPr>
          <w:rFonts w:hint="eastAsia"/>
        </w:rPr>
        <w:t>为全面宣传和贯彻执行标准，需采取下列措施进行推进：</w:t>
      </w:r>
    </w:p>
    <w:p w14:paraId="27A604B7">
      <w:pPr>
        <w:pStyle w:val="40"/>
      </w:pPr>
      <w:r>
        <w:rPr>
          <w:rFonts w:hint="eastAsia"/>
        </w:rPr>
        <w:t>（1）组建宣贯领导组和工作组。组织参与本标准编制工作的相关人员组成标准宣贯领导组和工作组；</w:t>
      </w:r>
    </w:p>
    <w:p w14:paraId="47E948AF">
      <w:pPr>
        <w:pStyle w:val="40"/>
      </w:pPr>
      <w:r>
        <w:rPr>
          <w:rFonts w:hint="eastAsia"/>
        </w:rPr>
        <w:t>（2）广泛宣传，大力动员。举办宣传贯彻培训班，印制发放宣传手册，借助政府网站、新闻媒体、现代通信手段等平台进行广泛宣传。</w:t>
      </w:r>
    </w:p>
    <w:p w14:paraId="6C71F28D">
      <w:pPr>
        <w:pStyle w:val="40"/>
      </w:pPr>
      <w:r>
        <w:rPr>
          <w:rFonts w:hint="eastAsia"/>
        </w:rPr>
        <w:t>（3）解析技术指标与实施难点。联合</w:t>
      </w:r>
      <w:r>
        <w:rPr>
          <w:rFonts w:hint="eastAsia"/>
          <w:lang w:val="en-US" w:eastAsia="zh-CN"/>
        </w:rPr>
        <w:t>无人机生产厂家及电网公司</w:t>
      </w:r>
      <w:bookmarkStart w:id="34" w:name="_GoBack"/>
      <w:bookmarkEnd w:id="34"/>
      <w:r>
        <w:rPr>
          <w:rFonts w:hint="eastAsia"/>
        </w:rPr>
        <w:t>等相关单位开展</w:t>
      </w:r>
      <w:r>
        <w:rPr>
          <w:rFonts w:hint="eastAsia"/>
          <w:lang w:val="en-US" w:eastAsia="zh-CN"/>
        </w:rPr>
        <w:t>实操</w:t>
      </w:r>
      <w:r>
        <w:rPr>
          <w:rFonts w:hint="eastAsia"/>
        </w:rPr>
        <w:t>及</w:t>
      </w:r>
      <w:r>
        <w:rPr>
          <w:rFonts w:hint="eastAsia"/>
          <w:lang w:val="en-US" w:eastAsia="zh-CN"/>
        </w:rPr>
        <w:t>试验分析</w:t>
      </w:r>
      <w:r>
        <w:rPr>
          <w:rFonts w:hint="eastAsia"/>
        </w:rPr>
        <w:t>等，为</w:t>
      </w:r>
      <w:r>
        <w:rPr>
          <w:rFonts w:hint="eastAsia"/>
          <w:lang w:val="en-US" w:eastAsia="zh-CN"/>
        </w:rPr>
        <w:t>标准的制定</w:t>
      </w:r>
      <w:r>
        <w:rPr>
          <w:rFonts w:hint="eastAsia"/>
        </w:rPr>
        <w:t>提供有效的技术指导。</w:t>
      </w:r>
    </w:p>
    <w:p w14:paraId="5B963CC3">
      <w:pPr>
        <w:rPr>
          <w:rFonts w:hint="eastAsia" w:ascii="黑体" w:hAnsi="黑体" w:eastAsia="黑体"/>
          <w:bCs/>
          <w:sz w:val="32"/>
          <w:szCs w:val="32"/>
        </w:rPr>
      </w:pPr>
    </w:p>
    <w:p w14:paraId="5948D186"/>
    <w:sectPr>
      <w:pgSz w:w="11906" w:h="16838"/>
      <w:pgMar w:top="1440" w:right="1588" w:bottom="1440"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9BA72">
    <w:pPr>
      <w:pStyle w:val="46"/>
      <w:jc w:val="center"/>
    </w:pPr>
    <w:r>
      <w:rPr>
        <w:kern w:val="2"/>
      </w:rPr>
      <w:fldChar w:fldCharType="begin"/>
    </w:r>
    <w:r>
      <w:rPr>
        <w:rStyle w:val="18"/>
        <w:kern w:val="2"/>
      </w:rPr>
      <w:instrText xml:space="preserve"> PAGE </w:instrText>
    </w:r>
    <w:r>
      <w:rPr>
        <w:kern w:val="2"/>
      </w:rPr>
      <w:fldChar w:fldCharType="separate"/>
    </w:r>
    <w:r>
      <w:rPr>
        <w:rStyle w:val="18"/>
        <w:kern w:val="2"/>
      </w:rPr>
      <w:t>27</w:t>
    </w:r>
    <w:r>
      <w:rPr>
        <w:kern w:val="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582B3">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65430" cy="174625"/>
              <wp:effectExtent l="0" t="0" r="0" b="0"/>
              <wp:wrapNone/>
              <wp:docPr id="1" name="文本框 5"/>
              <wp:cNvGraphicFramePr/>
              <a:graphic xmlns:a="http://schemas.openxmlformats.org/drawingml/2006/main">
                <a:graphicData uri="http://schemas.microsoft.com/office/word/2010/wordprocessingShape">
                  <wps:wsp>
                    <wps:cNvSpPr txBox="1"/>
                    <wps:spPr>
                      <a:xfrm>
                        <a:off x="0" y="0"/>
                        <a:ext cx="265430" cy="174625"/>
                      </a:xfrm>
                      <a:prstGeom prst="rect">
                        <a:avLst/>
                      </a:prstGeom>
                      <a:noFill/>
                      <a:ln>
                        <a:noFill/>
                      </a:ln>
                    </wps:spPr>
                    <wps:txbx>
                      <w:txbxContent>
                        <w:p w14:paraId="4FAFE722">
                          <w:pPr>
                            <w:tabs>
                              <w:tab w:val="center" w:pos="4153"/>
                              <w:tab w:val="right" w:pos="8306"/>
                            </w:tabs>
                          </w:pPr>
                          <w:r>
                            <w:fldChar w:fldCharType="begin"/>
                          </w:r>
                          <w:r>
                            <w:instrText xml:space="preserve"> PAGE  \* MERGEFORMAT </w:instrText>
                          </w:r>
                          <w:r>
                            <w:fldChar w:fldCharType="separate"/>
                          </w:r>
                          <w:r>
                            <w:t>33</w:t>
                          </w:r>
                          <w:r>
                            <w:fldChar w:fldCharType="end"/>
                          </w:r>
                        </w:p>
                      </w:txbxContent>
                    </wps:txbx>
                    <wps:bodyPr lIns="0" tIns="0" rIns="0" bIns="0" upright="1"/>
                  </wps:wsp>
                </a:graphicData>
              </a:graphic>
            </wp:anchor>
          </w:drawing>
        </mc:Choice>
        <mc:Fallback>
          <w:pict>
            <v:shape id="文本框 5" o:spid="_x0000_s1026" o:spt="202" type="#_x0000_t202" style="position:absolute;left:0pt;margin-top:0pt;height:13.75pt;width:20.9pt;mso-position-horizontal:center;mso-position-horizontal-relative:margin;z-index:251659264;mso-width-relative:page;mso-height-relative:page;" filled="f" stroked="f" coordsize="21600,21600" o:gfxdata="UEsDBAoAAAAAAIdO4kAAAAAAAAAAAAAAAAAEAAAAZHJzL1BLAwQUAAAACACHTuJAQExBmdQAAAAD&#10;AQAADwAAAGRycy9kb3ducmV2LnhtbE2PzU7DMBCE70i8g7VI3KidCgoNcSqE4ISESMOhRyfeJlbj&#10;dYjdH96ehUu5jLSa1cw3xerkB3HAKbpAGrKZAoHUBuuo0/BZv948gIjJkDVDINTwjRFW5eVFYXIb&#10;jlThYZ06wSEUc6OhT2nMpYxtj97EWRiR2NuGyZvE59RJO5kjh/tBzpVaSG8ccUNvRnzusd2t917D&#10;04aqF/f13nxU28rV9VLR22Kn9fVVph5BJDyl8zP84jM6lMzUhD3ZKAYNPCT9KXu3Ga9oNMzv70CW&#10;hfzPXv4AUEsDBBQAAAAIAIdO4kCQwjp2ugEAAHEDAAAOAAAAZHJzL2Uyb0RvYy54bWytU8GO0zAQ&#10;vSPxD5bvNG3ZLShquhKqFiEhQFr4ANexG0u2xxq7TfoD8AecuHDnu/odjN20y+5e9sDFmcxM3rz3&#10;xlneDM6yvcJowDd8NplypryE1vhtw799vX31lrOYhG+FBa8aflCR36xevlj2oVZz6MC2ChmB+Fj3&#10;oeFdSqGuqig75UScQFCeihrQiUSvuK1aFD2hO1vNp9NF1QO2AUGqGCm7PhX5iIjPAQStjVRrkDun&#10;fDqhorIikaTYmRD5qrDVWsn0WeuoErMNJ6WpnDSE4k0+q9VS1FsUoTNypCCeQ+GRJieMp6EXqLVI&#10;gu3QPIFyRiJE0GkiwVUnIcURUjGbPvLmrhNBFS1kdQwX0+P/g5Wf9l+QmZZuAmdeOFr48eeP468/&#10;x9/f2XW2pw+xpq67QH1peAdDbh3zkZJZ9aDR5SfpYVQncw8Xc9WQmKTkfHF99ZoqkkqzN1eLeUGv&#10;7j8OGNN7BY7loOFIuyuWiv3HmGggtZ5b8iwPt8basj/rHySoMWeqzPzEMEdp2Awj7Q20B1JjP3hy&#10;Mt+Kc4DnYHMOdgHNtiM6RXOBpE0UMuOtyav+970Mvv9T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ExBmdQAAAADAQAADwAAAAAAAAABACAAAAAiAAAAZHJzL2Rvd25yZXYueG1sUEsBAhQAFAAA&#10;AAgAh07iQJDCOna6AQAAcQMAAA4AAAAAAAAAAQAgAAAAIwEAAGRycy9lMm9Eb2MueG1sUEsFBgAA&#10;AAAGAAYAWQEAAE8FAAAAAA==&#10;">
              <v:fill on="f" focussize="0,0"/>
              <v:stroke on="f"/>
              <v:imagedata o:title=""/>
              <o:lock v:ext="edit" aspectratio="f"/>
              <v:textbox inset="0mm,0mm,0mm,0mm">
                <w:txbxContent>
                  <w:p w14:paraId="4FAFE722">
                    <w:pPr>
                      <w:tabs>
                        <w:tab w:val="center" w:pos="4153"/>
                        <w:tab w:val="right" w:pos="8306"/>
                      </w:tabs>
                    </w:pPr>
                    <w:r>
                      <w:fldChar w:fldCharType="begin"/>
                    </w:r>
                    <w:r>
                      <w:instrText xml:space="preserve"> PAGE  \* MERGEFORMAT </w:instrText>
                    </w:r>
                    <w:r>
                      <w:fldChar w:fldCharType="separate"/>
                    </w:r>
                    <w:r>
                      <w:t>33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C7861">
    <w:pPr>
      <w:pStyle w:val="41"/>
      <w:wordWrap w:val="0"/>
    </w:pPr>
    <w:r>
      <w:rPr>
        <w:rFonts w:hint="eastAsia"/>
      </w:rPr>
      <w:t>T</w:t>
    </w:r>
    <w:r>
      <w:t>/</w:t>
    </w:r>
    <w:r>
      <w:rPr>
        <w:rFonts w:hint="eastAsia"/>
      </w:rPr>
      <w:t>CSEE</w:t>
    </w:r>
    <w:r>
      <w:rPr>
        <w:rFonts w:hint="eastAsia" w:hAnsi="黑体"/>
      </w:rPr>
      <w:t xml:space="preserve"> XXXX-YYYY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19AE1">
    <w:pPr>
      <w:pStyle w:val="41"/>
      <w:spacing w:before="120" w:after="120"/>
      <w:jc w:val="both"/>
    </w:pPr>
    <w:r>
      <w:t>Q/</w:t>
    </w:r>
    <w:r>
      <w:rPr>
        <w:rFonts w:hint="eastAsia"/>
      </w:rPr>
      <w:t>GDW</w:t>
    </w:r>
    <w:r>
      <w:rPr>
        <w:rFonts w:hint="eastAsia" w:hAnsi="宋体"/>
      </w:rPr>
      <w:t xml:space="preserve"> </w:t>
    </w:r>
    <w:r>
      <w:rPr>
        <w:rFonts w:hint="eastAsia" w:hAnsi="黑体"/>
      </w:rPr>
      <w:t>XX-XXX</w:t>
    </w:r>
    <w:r>
      <w:rPr>
        <w:rFonts w:hAnsi="黑体"/>
      </w:rPr>
      <w:t>—</w:t>
    </w:r>
    <w:r>
      <w:rPr>
        <w:rFonts w:hint="eastAsia" w:hAnsi="黑体"/>
      </w:rPr>
      <w:t>2012-1XXXX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3896C">
    <w:pPr>
      <w:pStyle w:val="41"/>
      <w:wordWrap w:val="0"/>
      <w:spacing w:before="120"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1C199"/>
    <w:multiLevelType w:val="singleLevel"/>
    <w:tmpl w:val="A1D1C199"/>
    <w:lvl w:ilvl="0" w:tentative="0">
      <w:start w:val="1"/>
      <w:numFmt w:val="decimal"/>
      <w:suff w:val="nothing"/>
      <w:lvlText w:val="（%1）"/>
      <w:lvlJc w:val="left"/>
    </w:lvl>
  </w:abstractNum>
  <w:abstractNum w:abstractNumId="1">
    <w:nsid w:val="1FC91163"/>
    <w:multiLevelType w:val="multilevel"/>
    <w:tmpl w:val="1FC91163"/>
    <w:lvl w:ilvl="0" w:tentative="0">
      <w:start w:val="1"/>
      <w:numFmt w:val="decimal"/>
      <w:pStyle w:val="42"/>
      <w:suff w:val="nothing"/>
      <w:lvlText w:val="%1　"/>
      <w:lvlJc w:val="left"/>
      <w:pPr>
        <w:ind w:left="426" w:firstLine="0"/>
      </w:pPr>
      <w:rPr>
        <w:rFonts w:hint="eastAsia" w:ascii="黑体" w:hAnsi="Times New Roman" w:eastAsia="黑体"/>
        <w:b w:val="0"/>
        <w:i w:val="0"/>
        <w:sz w:val="21"/>
        <w:szCs w:val="21"/>
      </w:rPr>
    </w:lvl>
    <w:lvl w:ilvl="1" w:tentative="0">
      <w:start w:val="1"/>
      <w:numFmt w:val="decimal"/>
      <w:suff w:val="nothing"/>
      <w:lvlText w:val="%1.%2　"/>
      <w:lvlJc w:val="left"/>
      <w:pPr>
        <w:ind w:left="142"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568"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45"/>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HorizontalSpacing w:val="105"/>
  <w:drawingGridVerticalSpacing w:val="156"/>
  <w:displayHorizontalDrawingGridEvery w:val="2"/>
  <w:displayVerticalDrawingGridEvery w:val="2"/>
  <w:characterSpacingControl w:val="doNotCompress"/>
  <w:hdrShapeDefaults>
    <o:shapelayout v:ext="edit">
      <o:idmap v:ext="edit" data="1"/>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E9"/>
    <w:rsid w:val="0008287A"/>
    <w:rsid w:val="000C5607"/>
    <w:rsid w:val="00131C5B"/>
    <w:rsid w:val="00153106"/>
    <w:rsid w:val="001539A9"/>
    <w:rsid w:val="00163E9D"/>
    <w:rsid w:val="00175325"/>
    <w:rsid w:val="001B3D28"/>
    <w:rsid w:val="001B73FA"/>
    <w:rsid w:val="001E3E8B"/>
    <w:rsid w:val="002763D4"/>
    <w:rsid w:val="002F2E48"/>
    <w:rsid w:val="00530FED"/>
    <w:rsid w:val="005A7CD2"/>
    <w:rsid w:val="005B2AD1"/>
    <w:rsid w:val="006E2E9A"/>
    <w:rsid w:val="00746DE5"/>
    <w:rsid w:val="00750F8D"/>
    <w:rsid w:val="007538E1"/>
    <w:rsid w:val="007F43C0"/>
    <w:rsid w:val="00843D4B"/>
    <w:rsid w:val="008502D9"/>
    <w:rsid w:val="008519DE"/>
    <w:rsid w:val="008631BA"/>
    <w:rsid w:val="008A71FC"/>
    <w:rsid w:val="008F28F5"/>
    <w:rsid w:val="0094403B"/>
    <w:rsid w:val="009A23E9"/>
    <w:rsid w:val="00A407CD"/>
    <w:rsid w:val="00A561DE"/>
    <w:rsid w:val="00B451D3"/>
    <w:rsid w:val="00BE7592"/>
    <w:rsid w:val="00C41E93"/>
    <w:rsid w:val="00C81D62"/>
    <w:rsid w:val="00C8478C"/>
    <w:rsid w:val="00E32CEF"/>
    <w:rsid w:val="00EA60AA"/>
    <w:rsid w:val="00F37B7C"/>
    <w:rsid w:val="00F44D60"/>
    <w:rsid w:val="00FA7E07"/>
    <w:rsid w:val="00FE50F1"/>
    <w:rsid w:val="0DC67C8B"/>
    <w:rsid w:val="149D101A"/>
    <w:rsid w:val="159E3AF3"/>
    <w:rsid w:val="1AE94FB9"/>
    <w:rsid w:val="1E124827"/>
    <w:rsid w:val="1F96462D"/>
    <w:rsid w:val="20F97046"/>
    <w:rsid w:val="266D4CF0"/>
    <w:rsid w:val="2ADC2444"/>
    <w:rsid w:val="2B473D61"/>
    <w:rsid w:val="2C8B4122"/>
    <w:rsid w:val="2E95044B"/>
    <w:rsid w:val="2FC3064C"/>
    <w:rsid w:val="3B8821A8"/>
    <w:rsid w:val="404C5150"/>
    <w:rsid w:val="4118629F"/>
    <w:rsid w:val="411B561D"/>
    <w:rsid w:val="41A9762F"/>
    <w:rsid w:val="4BA97CC9"/>
    <w:rsid w:val="555843FA"/>
    <w:rsid w:val="566B1D4F"/>
    <w:rsid w:val="5847689F"/>
    <w:rsid w:val="58F12AC1"/>
    <w:rsid w:val="5BBF32A4"/>
    <w:rsid w:val="5BC87CF7"/>
    <w:rsid w:val="5D3A69D3"/>
    <w:rsid w:val="60522673"/>
    <w:rsid w:val="676254A4"/>
    <w:rsid w:val="69533249"/>
    <w:rsid w:val="6CBE10EF"/>
    <w:rsid w:val="74A25132"/>
    <w:rsid w:val="75224655"/>
    <w:rsid w:val="790243F1"/>
    <w:rsid w:val="793F5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14:ligatures w14:val="none"/>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9"/>
    <w:unhideWhenUsed/>
    <w:qFormat/>
    <w:uiPriority w:val="99"/>
    <w:pPr>
      <w:tabs>
        <w:tab w:val="center" w:pos="4153"/>
        <w:tab w:val="right" w:pos="8306"/>
      </w:tabs>
      <w:snapToGrid w:val="0"/>
      <w:jc w:val="left"/>
    </w:pPr>
    <w:rPr>
      <w:sz w:val="18"/>
      <w:szCs w:val="18"/>
    </w:rPr>
  </w:style>
  <w:style w:type="paragraph" w:styleId="12">
    <w:name w:val="header"/>
    <w:basedOn w:val="1"/>
    <w:link w:val="38"/>
    <w:unhideWhenUsed/>
    <w:qFormat/>
    <w:uiPriority w:val="99"/>
    <w:pPr>
      <w:tabs>
        <w:tab w:val="center" w:pos="4153"/>
        <w:tab w:val="right" w:pos="8306"/>
      </w:tabs>
      <w:snapToGrid w:val="0"/>
      <w:jc w:val="center"/>
    </w:pPr>
    <w:rPr>
      <w:sz w:val="18"/>
      <w:szCs w:val="18"/>
    </w:rPr>
  </w:style>
  <w:style w:type="paragraph" w:styleId="13">
    <w:name w:val="toc 1"/>
    <w:basedOn w:val="1"/>
    <w:next w:val="1"/>
    <w:qFormat/>
    <w:uiPriority w:val="39"/>
    <w:pPr>
      <w:tabs>
        <w:tab w:val="right" w:leader="dot" w:pos="9241"/>
      </w:tabs>
      <w:spacing w:before="25" w:beforeLines="25" w:after="25" w:afterLines="25"/>
      <w:jc w:val="left"/>
    </w:pPr>
    <w:rPr>
      <w:rFonts w:ascii="宋体"/>
      <w:szCs w:val="21"/>
    </w:rPr>
  </w:style>
  <w:style w:type="paragraph" w:styleId="14">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9"/>
    <w:qFormat/>
    <w:uiPriority w:val="0"/>
    <w:pPr>
      <w:spacing w:after="80"/>
      <w:contextualSpacing/>
      <w:jc w:val="center"/>
    </w:pPr>
    <w:rPr>
      <w:rFonts w:asciiTheme="majorHAnsi" w:hAnsiTheme="majorHAnsi" w:eastAsiaTheme="majorEastAsia" w:cstheme="majorBidi"/>
      <w:spacing w:val="-10"/>
      <w:kern w:val="28"/>
      <w:sz w:val="56"/>
      <w:szCs w:val="56"/>
    </w:rPr>
  </w:style>
  <w:style w:type="character" w:styleId="18">
    <w:name w:val="page number"/>
    <w:basedOn w:val="17"/>
    <w:qFormat/>
    <w:uiPriority w:val="0"/>
    <w:rPr>
      <w:rFonts w:ascii="Times New Roman" w:hAnsi="Times New Roman" w:eastAsia="宋体"/>
      <w:sz w:val="18"/>
    </w:rPr>
  </w:style>
  <w:style w:type="character" w:styleId="19">
    <w:name w:val="Hyperlink"/>
    <w:unhideWhenUsed/>
    <w:qFormat/>
    <w:uiPriority w:val="99"/>
    <w:rPr>
      <w:color w:val="0000FF"/>
      <w:u w:val="single"/>
    </w:rPr>
  </w:style>
  <w:style w:type="character" w:customStyle="1" w:styleId="20">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7"/>
    <w:link w:val="5"/>
    <w:semiHidden/>
    <w:qFormat/>
    <w:uiPriority w:val="9"/>
    <w:rPr>
      <w:rFonts w:cstheme="majorBidi"/>
      <w:color w:val="104862" w:themeColor="accent1" w:themeShade="BF"/>
      <w:sz w:val="28"/>
      <w:szCs w:val="28"/>
    </w:rPr>
  </w:style>
  <w:style w:type="character" w:customStyle="1" w:styleId="24">
    <w:name w:val="标题 5 字符"/>
    <w:basedOn w:val="17"/>
    <w:link w:val="6"/>
    <w:semiHidden/>
    <w:qFormat/>
    <w:uiPriority w:val="9"/>
    <w:rPr>
      <w:rFonts w:cstheme="majorBidi"/>
      <w:color w:val="104862" w:themeColor="accent1" w:themeShade="BF"/>
      <w:sz w:val="24"/>
      <w:szCs w:val="24"/>
    </w:rPr>
  </w:style>
  <w:style w:type="character" w:customStyle="1" w:styleId="25">
    <w:name w:val="标题 6 字符"/>
    <w:basedOn w:val="17"/>
    <w:link w:val="7"/>
    <w:semiHidden/>
    <w:qFormat/>
    <w:uiPriority w:val="9"/>
    <w:rPr>
      <w:rFonts w:cstheme="majorBidi"/>
      <w:b/>
      <w:bCs/>
      <w:color w:val="104862" w:themeColor="accent1" w:themeShade="BF"/>
    </w:rPr>
  </w:style>
  <w:style w:type="character" w:customStyle="1" w:styleId="26">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7"/>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7"/>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7"/>
    <w:link w:val="35"/>
    <w:qFormat/>
    <w:uiPriority w:val="30"/>
    <w:rPr>
      <w:i/>
      <w:iCs/>
      <w:color w:val="104862" w:themeColor="accent1" w:themeShade="BF"/>
    </w:rPr>
  </w:style>
  <w:style w:type="character" w:customStyle="1" w:styleId="37">
    <w:name w:val="Intense Reference"/>
    <w:basedOn w:val="17"/>
    <w:qFormat/>
    <w:uiPriority w:val="32"/>
    <w:rPr>
      <w:b/>
      <w:bCs/>
      <w:smallCaps/>
      <w:color w:val="104862" w:themeColor="accent1" w:themeShade="BF"/>
      <w:spacing w:val="5"/>
    </w:rPr>
  </w:style>
  <w:style w:type="character" w:customStyle="1" w:styleId="38">
    <w:name w:val="页眉 字符"/>
    <w:basedOn w:val="17"/>
    <w:link w:val="12"/>
    <w:qFormat/>
    <w:uiPriority w:val="99"/>
    <w:rPr>
      <w:sz w:val="18"/>
      <w:szCs w:val="18"/>
    </w:rPr>
  </w:style>
  <w:style w:type="character" w:customStyle="1" w:styleId="39">
    <w:name w:val="页脚 字符"/>
    <w:basedOn w:val="17"/>
    <w:link w:val="11"/>
    <w:qFormat/>
    <w:uiPriority w:val="99"/>
    <w:rPr>
      <w:sz w:val="18"/>
      <w:szCs w:val="18"/>
    </w:rPr>
  </w:style>
  <w:style w:type="paragraph" w:customStyle="1" w:styleId="4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14:ligatures w14:val="none"/>
    </w:rPr>
  </w:style>
  <w:style w:type="paragraph" w:customStyle="1" w:styleId="41">
    <w:name w:val="标准书眉_奇数页"/>
    <w:next w:val="1"/>
    <w:qFormat/>
    <w:uiPriority w:val="0"/>
    <w:pPr>
      <w:tabs>
        <w:tab w:val="center" w:pos="4154"/>
        <w:tab w:val="right" w:pos="8306"/>
      </w:tabs>
      <w:spacing w:after="220"/>
      <w:jc w:val="right"/>
    </w:pPr>
    <w:rPr>
      <w:rFonts w:ascii="黑体" w:hAnsi="Times New Roman" w:eastAsia="黑体" w:cs="Times New Roman"/>
      <w:kern w:val="0"/>
      <w:sz w:val="21"/>
      <w:szCs w:val="21"/>
      <w:lang w:val="en-US" w:eastAsia="zh-CN" w:bidi="ar-SA"/>
      <w14:ligatures w14:val="none"/>
    </w:rPr>
  </w:style>
  <w:style w:type="paragraph" w:customStyle="1" w:styleId="42">
    <w:name w:val="章标题"/>
    <w:next w:val="40"/>
    <w:qFormat/>
    <w:uiPriority w:val="0"/>
    <w:pPr>
      <w:numPr>
        <w:ilvl w:val="0"/>
        <w:numId w:val="1"/>
      </w:numPr>
      <w:spacing w:before="312" w:beforeLines="100" w:after="312" w:afterLines="100"/>
      <w:jc w:val="both"/>
      <w:outlineLvl w:val="1"/>
    </w:pPr>
    <w:rPr>
      <w:rFonts w:ascii="黑体" w:hAnsi="Times New Roman" w:eastAsia="黑体" w:cs="Times New Roman"/>
      <w:kern w:val="0"/>
      <w:sz w:val="21"/>
      <w:szCs w:val="20"/>
      <w:lang w:val="en-US" w:eastAsia="zh-CN" w:bidi="ar-SA"/>
      <w14:ligatures w14:val="none"/>
    </w:rPr>
  </w:style>
  <w:style w:type="paragraph" w:customStyle="1" w:styleId="43">
    <w:name w:val="样式 标题 1 + 非加粗"/>
    <w:basedOn w:val="2"/>
    <w:qFormat/>
    <w:uiPriority w:val="0"/>
    <w:pPr>
      <w:spacing w:before="100" w:beforeLines="100" w:after="100" w:afterLines="100"/>
    </w:pPr>
    <w:rPr>
      <w:rFonts w:ascii="Times New Roman" w:hAnsi="Times New Roman" w:eastAsia="黑体" w:cs="Times New Roman"/>
      <w:color w:val="auto"/>
      <w:kern w:val="44"/>
      <w:sz w:val="21"/>
      <w:szCs w:val="44"/>
    </w:rPr>
  </w:style>
  <w:style w:type="paragraph" w:customStyle="1" w:styleId="44">
    <w:name w:val="目次、标准名称标题"/>
    <w:basedOn w:val="1"/>
    <w:next w:val="40"/>
    <w:qFormat/>
    <w:uiPriority w:val="0"/>
    <w:pPr>
      <w:keepNext/>
      <w:pageBreakBefore/>
      <w:widowControl/>
      <w:shd w:val="clear" w:color="FFFFFF" w:fill="FFFFFF"/>
      <w:spacing w:before="640" w:after="560" w:line="460" w:lineRule="exact"/>
      <w:jc w:val="center"/>
      <w:outlineLvl w:val="0"/>
    </w:pPr>
    <w:rPr>
      <w:rFonts w:ascii="黑体" w:eastAsia="黑体"/>
      <w:kern w:val="0"/>
      <w:sz w:val="32"/>
    </w:rPr>
  </w:style>
  <w:style w:type="paragraph" w:customStyle="1" w:styleId="45">
    <w:name w:val="附录章标题"/>
    <w:next w:val="40"/>
    <w:qFormat/>
    <w:uiPriority w:val="0"/>
    <w:pPr>
      <w:numPr>
        <w:ilvl w:val="1"/>
        <w:numId w:val="2"/>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szCs w:val="20"/>
      <w:lang w:val="en-US" w:eastAsia="zh-CN" w:bidi="ar-SA"/>
      <w14:ligatures w14:val="none"/>
    </w:rPr>
  </w:style>
  <w:style w:type="paragraph" w:customStyle="1" w:styleId="46">
    <w:name w:val="标准书脚_奇数页"/>
    <w:qFormat/>
    <w:uiPriority w:val="0"/>
    <w:pPr>
      <w:spacing w:before="120"/>
      <w:ind w:right="198"/>
      <w:jc w:val="right"/>
    </w:pPr>
    <w:rPr>
      <w:rFonts w:ascii="宋体" w:hAnsi="Times New Roman" w:eastAsia="宋体" w:cs="Times New Roman"/>
      <w:kern w:val="0"/>
      <w:sz w:val="18"/>
      <w:szCs w:val="18"/>
      <w:lang w:val="en-US" w:eastAsia="zh-CN" w:bidi="ar-SA"/>
      <w14:ligatures w14: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72D07D-5FF2-4CDE-8862-1B34271E3921}">
  <ds:schemaRefs/>
</ds:datastoreItem>
</file>

<file path=docProps/app.xml><?xml version="1.0" encoding="utf-8"?>
<Properties xmlns="http://schemas.openxmlformats.org/officeDocument/2006/extended-properties" xmlns:vt="http://schemas.openxmlformats.org/officeDocument/2006/docPropsVTypes">
  <Template>Normal</Template>
  <Pages>5</Pages>
  <Words>3250</Words>
  <Characters>3393</Characters>
  <Lines>31</Lines>
  <Paragraphs>8</Paragraphs>
  <TotalTime>15</TotalTime>
  <ScaleCrop>false</ScaleCrop>
  <LinksUpToDate>false</LinksUpToDate>
  <CharactersWithSpaces>3427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2025-03-04T06:49:00Z</dcterms:created>
  <dc:creator>硕 董</dc:creator>
  <cp:lastModifiedBy>JZ</cp:lastModifiedBy>
  <dcterms:modified xsi:type="dcterms:W3CDTF">2026-03-25T05:55:33Z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DA7BE1D2273042E49DDBE784711C67BA_12</vt:lpwstr>
  </property>
  <property fmtid="{D5CDD505-2E9C-101B-9397-08002B2CF9AE}" pid="4" name="KSOTemplateDocerSaveRecord">
    <vt:lpwstr>eyJoZGlkIjoiMTRlNzVhZTFiN2QwNDc3YjIzMmNlNjU3ZDkyNGU0NzEiLCJ1c2VySWQiOiIyNzI5MzA3ODQifQ==</vt:lpwstr>
  </property>
</Properties>
</file>