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A7B426" w14:textId="77777777" w:rsidR="0051782D" w:rsidRDefault="0051782D">
      <w:pPr>
        <w:rPr>
          <w:rFonts w:eastAsia="黑体"/>
          <w:sz w:val="36"/>
          <w:szCs w:val="24"/>
        </w:rPr>
      </w:pPr>
    </w:p>
    <w:p w14:paraId="0FB71962" w14:textId="77777777" w:rsidR="0051782D" w:rsidRDefault="00000000">
      <w:pPr>
        <w:framePr w:hSpace="180" w:vSpace="180" w:wrap="around" w:hAnchor="margin" w:y="1" w:anchorLock="1"/>
      </w:pPr>
      <w:r>
        <w:rPr>
          <w:rFonts w:ascii="TimesNewRomanPS-BoldMT" w:hAnsi="TimesNewRomanPS-BoldMT" w:cs="TimesNewRomanPS-BoldMT" w:hint="eastAsia"/>
          <w:bCs/>
          <w:kern w:val="0"/>
          <w:szCs w:val="21"/>
        </w:rPr>
        <w:t>ICS</w:t>
      </w:r>
      <w:r>
        <w:rPr>
          <w:rFonts w:hint="eastAsia"/>
        </w:rPr>
        <w:t xml:space="preserve"> **</w:t>
      </w:r>
      <w:r>
        <w:t>.</w:t>
      </w:r>
      <w:r>
        <w:rPr>
          <w:rFonts w:hint="eastAsia"/>
        </w:rPr>
        <w:t>***</w:t>
      </w:r>
    </w:p>
    <w:p w14:paraId="7E557693" w14:textId="77777777" w:rsidR="0051782D" w:rsidRDefault="00000000">
      <w:pPr>
        <w:framePr w:hSpace="180" w:vSpace="180" w:wrap="around" w:hAnchor="margin" w:y="1" w:anchorLock="1"/>
      </w:pPr>
      <w:r>
        <w:rPr>
          <w:rFonts w:hint="eastAsia"/>
        </w:rPr>
        <w:t>*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51782D" w14:paraId="7E0252E9" w14:textId="77777777">
        <w:tc>
          <w:tcPr>
            <w:tcW w:w="9571" w:type="dxa"/>
            <w:tcBorders>
              <w:top w:val="nil"/>
              <w:left w:val="nil"/>
              <w:bottom w:val="nil"/>
              <w:right w:val="nil"/>
            </w:tcBorders>
          </w:tcPr>
          <w:p w14:paraId="2FB2EB86" w14:textId="77777777" w:rsidR="0051782D" w:rsidRDefault="00000000">
            <w:pPr>
              <w:pStyle w:val="affff"/>
              <w:framePr w:wrap="around"/>
            </w:pPr>
            <w:r>
              <w:rPr>
                <w:noProof/>
              </w:rPr>
              <mc:AlternateContent>
                <mc:Choice Requires="wps">
                  <w:drawing>
                    <wp:anchor distT="0" distB="0" distL="114300" distR="114300" simplePos="0" relativeHeight="251661312" behindDoc="1" locked="0" layoutInCell="1" allowOverlap="1" wp14:anchorId="03271AC3" wp14:editId="0E3A6DE7">
                      <wp:simplePos x="0" y="0"/>
                      <wp:positionH relativeFrom="column">
                        <wp:posOffset>-66675</wp:posOffset>
                      </wp:positionH>
                      <wp:positionV relativeFrom="paragraph">
                        <wp:posOffset>0</wp:posOffset>
                      </wp:positionV>
                      <wp:extent cx="866775" cy="198120"/>
                      <wp:effectExtent l="0" t="0" r="9525" b="11430"/>
                      <wp:wrapNone/>
                      <wp:docPr id="3"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w14:anchorId="29D7E285" id="BAH" o:spid="_x0000_s1026" style="position:absolute;margin-left:-5.25pt;margin-top:0;width:68.25pt;height:15.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" stroked="f"/>
                  </w:pict>
                </mc:Fallback>
              </mc:AlternateContent>
            </w:r>
            <w:r>
              <w:rPr>
                <w:rFonts w:hint="eastAsia"/>
              </w:rPr>
              <w:t xml:space="preserve"> </w:t>
            </w:r>
          </w:p>
        </w:tc>
      </w:tr>
    </w:tbl>
    <w:p w14:paraId="3A33AFAD" w14:textId="77777777" w:rsidR="0051782D" w:rsidRDefault="00000000">
      <w:pPr>
        <w:pStyle w:val="afff7"/>
        <w:framePr w:wrap="around"/>
      </w:pPr>
      <w:r>
        <w:rPr>
          <w:rFonts w:hint="eastAsia"/>
        </w:rPr>
        <w:t>CSEE</w:t>
      </w:r>
      <w:r>
        <w:t xml:space="preserve"> </w:t>
      </w:r>
    </w:p>
    <w:p w14:paraId="6BE76393" w14:textId="77777777" w:rsidR="0051782D" w:rsidRDefault="00000000">
      <w:pPr>
        <w:pStyle w:val="affff1"/>
        <w:framePr w:wrap="around"/>
        <w:rPr>
          <w:rFonts w:ascii="Times New Roman" w:hAnsi="Times New Roman"/>
        </w:rPr>
      </w:pPr>
      <w:r>
        <w:rPr>
          <w:rFonts w:hint="eastAsia"/>
        </w:rPr>
        <w:t>中国电机工程学会标</w:t>
      </w:r>
      <w:r>
        <w:rPr>
          <w:rFonts w:ascii="Times New Roman" w:hAnsi="Times New Roman" w:hint="eastAsia"/>
        </w:rPr>
        <w:t>准</w:t>
      </w:r>
    </w:p>
    <w:p w14:paraId="26E3F58A" w14:textId="77777777" w:rsidR="0051782D" w:rsidRDefault="00000000">
      <w:pPr>
        <w:pStyle w:val="2"/>
        <w:framePr w:wrap="around"/>
        <w:rPr>
          <w:rFonts w:hAnsi="黑体" w:hint="eastAsia"/>
        </w:rPr>
      </w:pPr>
      <w:r>
        <w:rPr>
          <w:rFonts w:hint="eastAsia"/>
        </w:rPr>
        <w:t>T</w:t>
      </w:r>
      <w:r>
        <w:t>/</w:t>
      </w:r>
      <w:r>
        <w:rPr>
          <w:rFonts w:hint="eastAsia"/>
        </w:rPr>
        <w:t>CSEE</w:t>
      </w:r>
      <w:r>
        <w:rPr>
          <w:rFonts w:hAnsi="黑体" w:hint="eastAsia"/>
        </w:rPr>
        <w:t xml:space="preserve"> XXXX-YYYY</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51782D" w14:paraId="0F32968C" w14:textId="77777777">
        <w:tc>
          <w:tcPr>
            <w:tcW w:w="9356" w:type="dxa"/>
            <w:tcBorders>
              <w:top w:val="nil"/>
              <w:left w:val="nil"/>
              <w:bottom w:val="nil"/>
              <w:right w:val="nil"/>
            </w:tcBorders>
          </w:tcPr>
          <w:bookmarkStart w:id="0" w:name="DT"/>
          <w:p w14:paraId="124F81C8" w14:textId="77777777" w:rsidR="0051782D" w:rsidRDefault="00000000">
            <w:pPr>
              <w:pStyle w:val="aff9"/>
              <w:framePr w:wrap="around"/>
              <w:ind w:firstLine="210"/>
            </w:pP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0"/>
          </w:p>
        </w:tc>
      </w:tr>
    </w:tbl>
    <w:p w14:paraId="22C637E0" w14:textId="77777777" w:rsidR="0051782D" w:rsidRDefault="0051782D">
      <w:pPr>
        <w:pStyle w:val="2"/>
        <w:framePr w:wrap="around"/>
        <w:rPr>
          <w:rFonts w:hAnsi="黑体" w:hint="eastAsia"/>
        </w:rPr>
      </w:pPr>
    </w:p>
    <w:p w14:paraId="295A5D00" w14:textId="77777777" w:rsidR="0051782D" w:rsidRDefault="0051782D">
      <w:pPr>
        <w:pStyle w:val="2"/>
        <w:framePr w:wrap="around"/>
        <w:rPr>
          <w:rFonts w:hAnsi="黑体" w:hint="eastAsia"/>
        </w:rPr>
      </w:pPr>
    </w:p>
    <w:p w14:paraId="0AAE8D90" w14:textId="77777777" w:rsidR="0051782D" w:rsidRDefault="00000000">
      <w:pPr>
        <w:pStyle w:val="afff1"/>
        <w:framePr w:wrap="around" w:x="1396" w:y="6188"/>
      </w:pPr>
      <w:bookmarkStart w:id="1" w:name="OLE_LINK1"/>
      <w:r>
        <w:rPr>
          <w:rFonts w:hint="eastAsia"/>
        </w:rPr>
        <w:t>光储充检一体化充电站接入配电网技术规范</w:t>
      </w:r>
    </w:p>
    <w:tbl>
      <w:tblPr>
        <w:tblW w:w="9855" w:type="dxa"/>
        <w:tblLayout w:type="fixed"/>
        <w:tblLook w:val="04A0" w:firstRow="1" w:lastRow="0" w:firstColumn="1" w:lastColumn="0" w:noHBand="0" w:noVBand="1"/>
      </w:tblPr>
      <w:tblGrid>
        <w:gridCol w:w="9855"/>
      </w:tblGrid>
      <w:tr w:rsidR="0051782D" w14:paraId="0276A9BD" w14:textId="77777777">
        <w:tc>
          <w:tcPr>
            <w:tcW w:w="9855" w:type="dxa"/>
          </w:tcPr>
          <w:p w14:paraId="65798881" w14:textId="77777777" w:rsidR="0051782D" w:rsidRDefault="00000000">
            <w:pPr>
              <w:pStyle w:val="affe"/>
              <w:framePr w:wrap="around" w:x="1396" w:y="6188"/>
              <w:rPr>
                <w:szCs w:val="24"/>
              </w:rPr>
            </w:pPr>
            <w:bookmarkStart w:id="2" w:name="OLE_LINK4"/>
            <w:bookmarkEnd w:id="1"/>
            <w:r>
              <w:rPr>
                <w:rFonts w:ascii="Times New Roman" w:hint="eastAsia"/>
                <w:szCs w:val="24"/>
              </w:rPr>
              <w:t>Technical specification for connecting PV-Storage-Charging-Detection integrated electric vehicle charging station to distribution network</w:t>
            </w:r>
            <w:bookmarkEnd w:id="2"/>
          </w:p>
        </w:tc>
      </w:tr>
      <w:tr w:rsidR="0051782D" w14:paraId="014FEBAD" w14:textId="77777777">
        <w:tc>
          <w:tcPr>
            <w:tcW w:w="9855" w:type="dxa"/>
          </w:tcPr>
          <w:p w14:paraId="1D5A6837" w14:textId="77777777" w:rsidR="0051782D" w:rsidRDefault="0051782D">
            <w:pPr>
              <w:pStyle w:val="afffc"/>
              <w:framePr w:wrap="around" w:x="1396" w:y="6188"/>
              <w:rPr>
                <w:rFonts w:ascii="黑体" w:eastAsia="黑体" w:hAnsi="黑体" w:hint="eastAsia"/>
                <w:sz w:val="28"/>
              </w:rPr>
            </w:pPr>
          </w:p>
          <w:p w14:paraId="305CD46F" w14:textId="454015A7" w:rsidR="0051782D" w:rsidRDefault="00000000">
            <w:pPr>
              <w:pStyle w:val="afffc"/>
              <w:framePr w:wrap="around" w:x="1396" w:y="6188"/>
              <w:rPr>
                <w:rFonts w:ascii="黑体" w:eastAsia="黑体" w:hAnsi="黑体" w:hint="eastAsia"/>
                <w:sz w:val="28"/>
              </w:rPr>
            </w:pPr>
            <w:r>
              <w:rPr>
                <w:rFonts w:ascii="黑体" w:eastAsia="黑体" w:hAnsi="黑体" w:hint="eastAsia"/>
                <w:sz w:val="28"/>
              </w:rPr>
              <w:t>（</w:t>
            </w:r>
            <w:r w:rsidR="00FF1E34">
              <w:rPr>
                <w:rFonts w:ascii="黑体" w:eastAsia="黑体" w:hAnsi="黑体" w:hint="eastAsia"/>
                <w:sz w:val="28"/>
              </w:rPr>
              <w:t>征求意见稿</w:t>
            </w:r>
            <w:r>
              <w:rPr>
                <w:rFonts w:ascii="黑体" w:eastAsia="黑体" w:hAnsi="黑体" w:hint="eastAsia"/>
                <w:sz w:val="28"/>
              </w:rPr>
              <w:t>）</w:t>
            </w:r>
          </w:p>
          <w:p w14:paraId="744E779E" w14:textId="77777777" w:rsidR="0051782D" w:rsidRDefault="0051782D">
            <w:pPr>
              <w:pStyle w:val="afffc"/>
              <w:framePr w:wrap="around" w:x="1396" w:y="6188"/>
              <w:rPr>
                <w:rFonts w:ascii="Times New Roman"/>
                <w:sz w:val="32"/>
                <w:szCs w:val="32"/>
              </w:rPr>
            </w:pPr>
          </w:p>
        </w:tc>
      </w:tr>
    </w:tbl>
    <w:bookmarkStart w:id="3" w:name="FY"/>
    <w:p w14:paraId="72110850" w14:textId="77777777" w:rsidR="0051782D" w:rsidRDefault="00000000">
      <w:pPr>
        <w:pStyle w:val="afff6"/>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4"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hint="eastAsia"/>
        </w:rPr>
        <w:t>发布</w:t>
      </w:r>
      <w:r>
        <w:rPr>
          <w:noProof/>
        </w:rPr>
        <mc:AlternateContent>
          <mc:Choice Requires="wps">
            <w:drawing>
              <wp:anchor distT="0" distB="0" distL="114300" distR="114300" simplePos="0" relativeHeight="251662336" behindDoc="0" locked="1" layoutInCell="1" allowOverlap="1" wp14:anchorId="72970033" wp14:editId="25EF87BC">
                <wp:simplePos x="0" y="0"/>
                <wp:positionH relativeFrom="column">
                  <wp:posOffset>-635</wp:posOffset>
                </wp:positionH>
                <wp:positionV relativeFrom="page">
                  <wp:posOffset>9251950</wp:posOffset>
                </wp:positionV>
                <wp:extent cx="6120130" cy="0"/>
                <wp:effectExtent l="0" t="4445" r="0" b="5080"/>
                <wp:wrapNone/>
                <wp:docPr id="4" name="直线 2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89F28A" id="直线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">
                <w10:wrap anchory="page"/>
                <w10:anchorlock/>
              </v:line>
            </w:pict>
          </mc:Fallback>
        </mc:AlternateContent>
      </w:r>
    </w:p>
    <w:bookmarkStart w:id="5" w:name="SY"/>
    <w:p w14:paraId="1278D54F" w14:textId="77777777" w:rsidR="0051782D" w:rsidRDefault="00000000">
      <w:pPr>
        <w:pStyle w:val="afff8"/>
        <w:framePr w:wrap="around"/>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实施</w:t>
      </w:r>
    </w:p>
    <w:p w14:paraId="409BFA76" w14:textId="77777777" w:rsidR="0051782D" w:rsidRDefault="00000000">
      <w:pPr>
        <w:pStyle w:val="afff4"/>
        <w:framePr w:wrap="around"/>
      </w:pPr>
      <w:bookmarkStart w:id="8" w:name="fm"/>
      <w:r>
        <w:rPr>
          <w:noProof/>
          <w:w w:val="100"/>
        </w:rPr>
        <mc:AlternateContent>
          <mc:Choice Requires="wps">
            <w:drawing>
              <wp:anchor distT="0" distB="0" distL="114300" distR="114300" simplePos="0" relativeHeight="251660288" behindDoc="1" locked="0" layoutInCell="1" allowOverlap="1" wp14:anchorId="7136FDA7" wp14:editId="65ADDF02">
                <wp:simplePos x="0" y="0"/>
                <wp:positionH relativeFrom="column">
                  <wp:posOffset>1810385</wp:posOffset>
                </wp:positionH>
                <wp:positionV relativeFrom="paragraph">
                  <wp:posOffset>-3942715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w14:anchorId="2D63EF65" id="LB" o:spid="_x0000_s1026" style="position:absolute;margin-left:142.55pt;margin-top:-310.45pt;width:100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" stroked="f"/>
            </w:pict>
          </mc:Fallback>
        </mc:AlternateContent>
      </w:r>
      <w:r>
        <w:rPr>
          <w:noProof/>
          <w:w w:val="100"/>
        </w:rPr>
        <mc:AlternateContent>
          <mc:Choice Requires="wps">
            <w:drawing>
              <wp:anchor distT="0" distB="0" distL="114300" distR="114300" simplePos="0" relativeHeight="251659264" behindDoc="1" locked="0" layoutInCell="1" allowOverlap="1" wp14:anchorId="5A514CEE" wp14:editId="7C01344D">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w14:anchorId="7D719923" id="DT" o:spid="_x0000_s1026" style="position:absolute;margin-left:347.55pt;margin-top:-585.45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" stroked="f"/>
            </w:pict>
          </mc:Fallback>
        </mc:AlternateContent>
      </w:r>
      <w:r>
        <w:rPr>
          <w:noProof/>
          <w:w w:val="100"/>
        </w:rPr>
        <mc:AlternateContent>
          <mc:Choice Requires="wps">
            <w:drawing>
              <wp:anchor distT="0" distB="0" distL="114300" distR="114300" simplePos="0" relativeHeight="251663360" behindDoc="0" locked="0" layoutInCell="1" allowOverlap="1" wp14:anchorId="5540791D" wp14:editId="25733337">
                <wp:simplePos x="0" y="0"/>
                <wp:positionH relativeFrom="column">
                  <wp:posOffset>-464820</wp:posOffset>
                </wp:positionH>
                <wp:positionV relativeFrom="paragraph">
                  <wp:posOffset>-7021195</wp:posOffset>
                </wp:positionV>
                <wp:extent cx="6120130" cy="0"/>
                <wp:effectExtent l="0" t="4445" r="0" b="5080"/>
                <wp:wrapNone/>
                <wp:docPr id="5" name="直线 2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7E4F0DE" id="直线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"/>
            </w:pict>
          </mc:Fallback>
        </mc:AlternateContent>
      </w:r>
      <w:bookmarkEnd w:id="8"/>
      <w:r>
        <w:rPr>
          <w:rFonts w:hint="eastAsia"/>
        </w:rPr>
        <w:t>中国电机工程学会</w:t>
      </w:r>
      <w:r>
        <w:rPr>
          <w:rFonts w:hAnsi="黑体"/>
        </w:rPr>
        <w:t>   </w:t>
      </w:r>
      <w:r>
        <w:rPr>
          <w:rStyle w:val="aff7"/>
          <w:rFonts w:hint="eastAsia"/>
        </w:rPr>
        <w:t>发布</w:t>
      </w:r>
    </w:p>
    <w:p w14:paraId="3AE454A3" w14:textId="77777777" w:rsidR="0051782D" w:rsidRDefault="0051782D">
      <w:pPr>
        <w:rPr>
          <w:rFonts w:eastAsia="黑体"/>
          <w:sz w:val="36"/>
          <w:szCs w:val="24"/>
        </w:rPr>
      </w:pPr>
    </w:p>
    <w:p w14:paraId="648FCDE6" w14:textId="77777777" w:rsidR="0051782D" w:rsidRDefault="00000000">
      <w:pPr>
        <w:pStyle w:val="aff6"/>
        <w:tabs>
          <w:tab w:val="clear" w:pos="4201"/>
          <w:tab w:val="clear" w:pos="9298"/>
          <w:tab w:val="left" w:pos="8670"/>
        </w:tabs>
        <w:ind w:firstLineChars="0" w:firstLine="0"/>
      </w:pPr>
      <w:r>
        <w:tab/>
      </w:r>
    </w:p>
    <w:p w14:paraId="7BDAE4D7" w14:textId="77777777" w:rsidR="0051782D" w:rsidRDefault="0051782D"/>
    <w:p w14:paraId="178A08B7" w14:textId="77777777" w:rsidR="0051782D" w:rsidRDefault="0051782D">
      <w:pPr>
        <w:sectPr w:rsidR="0051782D">
          <w:headerReference w:type="even" r:id="rId8"/>
          <w:footerReference w:type="even" r:id="rId9"/>
          <w:pgSz w:w="11906" w:h="16838"/>
          <w:pgMar w:top="567" w:right="1134" w:bottom="1134" w:left="1417" w:header="0" w:footer="0" w:gutter="0"/>
          <w:pgNumType w:start="1"/>
          <w:cols w:space="720"/>
          <w:docGrid w:type="lines" w:linePitch="312"/>
        </w:sectPr>
      </w:pPr>
    </w:p>
    <w:bookmarkStart w:id="9" w:name="_Toc318613694" w:displacedByCustomXml="next"/>
    <w:bookmarkStart w:id="10" w:name="_Toc261680068" w:displacedByCustomXml="next"/>
    <w:bookmarkStart w:id="11" w:name="_Toc298938634" w:displacedByCustomXml="next"/>
    <w:bookmarkStart w:id="12" w:name="_Toc298938782" w:displacedByCustomXml="next"/>
    <w:bookmarkStart w:id="13" w:name="_Toc297970558" w:displacedByCustomXml="next"/>
    <w:bookmarkStart w:id="14" w:name="_Toc513731102" w:displacedByCustomXml="next"/>
    <w:bookmarkStart w:id="15" w:name="_Toc513731014" w:displacedByCustomXml="next"/>
    <w:sdt>
      <w:sdtPr>
        <w:rPr>
          <w:rFonts w:hint="eastAsia"/>
        </w:rPr>
        <w:id w:val="147457683"/>
        <w15:color w:val="DBDBDB"/>
        <w:docPartObj>
          <w:docPartGallery w:val="Table of Contents"/>
          <w:docPartUnique/>
        </w:docPartObj>
      </w:sdtPr>
      <w:sdtEndPr>
        <w:rPr>
          <w:rFonts w:ascii="宋体" w:hAnsi="宋体"/>
        </w:rPr>
      </w:sdtEndPr>
      <w:sdtContent>
        <w:p w14:paraId="257D0AA8" w14:textId="77777777" w:rsidR="0051782D" w:rsidRDefault="00000000">
          <w:pPr>
            <w:spacing w:after="0" w:line="240" w:lineRule="auto"/>
            <w:jc w:val="center"/>
          </w:pPr>
          <w:r>
            <w:rPr>
              <w:rFonts w:hint="eastAsia"/>
            </w:rPr>
            <w:t>目</w:t>
          </w:r>
          <w:r>
            <w:rPr>
              <w:rFonts w:hint="eastAsia"/>
            </w:rPr>
            <w:t xml:space="preserve">  </w:t>
          </w:r>
          <w:r>
            <w:rPr>
              <w:rFonts w:hint="eastAsia"/>
            </w:rPr>
            <w:t>录</w:t>
          </w:r>
        </w:p>
        <w:p w14:paraId="490E8F05" w14:textId="77777777" w:rsidR="0051782D" w:rsidRDefault="00000000">
          <w:pPr>
            <w:pStyle w:val="TOC2"/>
            <w:tabs>
              <w:tab w:val="right" w:leader="dot" w:pos="9355"/>
            </w:tabs>
            <w:ind w:leftChars="0" w:left="0"/>
          </w:pPr>
          <w:r>
            <w:fldChar w:fldCharType="begin"/>
          </w:r>
          <w:r>
            <w:instrText xml:space="preserve">TOC \o "1-3" \h \u </w:instrText>
          </w:r>
          <w:r>
            <w:fldChar w:fldCharType="separate"/>
          </w:r>
          <w:hyperlink w:anchor="_Toc11658" w:history="1">
            <w:r>
              <w:rPr>
                <w:rFonts w:ascii="黑体" w:eastAsia="黑体" w:hint="eastAsia"/>
                <w:szCs w:val="21"/>
              </w:rPr>
              <w:t xml:space="preserve">1 </w:t>
            </w:r>
            <w:r>
              <w:rPr>
                <w:rFonts w:hint="eastAsia"/>
              </w:rPr>
              <w:t>范围</w:t>
            </w:r>
            <w:r>
              <w:tab/>
            </w:r>
            <w:r>
              <w:fldChar w:fldCharType="begin"/>
            </w:r>
            <w:r>
              <w:instrText xml:space="preserve"> PAGEREF _Toc11658 \h </w:instrText>
            </w:r>
            <w:r>
              <w:fldChar w:fldCharType="separate"/>
            </w:r>
            <w:r>
              <w:t>1</w:t>
            </w:r>
            <w:r>
              <w:fldChar w:fldCharType="end"/>
            </w:r>
          </w:hyperlink>
        </w:p>
        <w:p w14:paraId="4E91914D" w14:textId="77777777" w:rsidR="0051782D" w:rsidRDefault="00000000">
          <w:pPr>
            <w:pStyle w:val="TOC2"/>
            <w:tabs>
              <w:tab w:val="right" w:leader="dot" w:pos="9355"/>
            </w:tabs>
            <w:ind w:leftChars="0" w:left="0"/>
          </w:pPr>
          <w:hyperlink w:anchor="_Toc24337" w:history="1">
            <w:r>
              <w:rPr>
                <w:rFonts w:ascii="黑体" w:eastAsia="黑体" w:hint="eastAsia"/>
                <w:szCs w:val="21"/>
              </w:rPr>
              <w:t xml:space="preserve">2 </w:t>
            </w:r>
            <w:r>
              <w:rPr>
                <w:rFonts w:hint="eastAsia"/>
              </w:rPr>
              <w:t>规范性引用文件</w:t>
            </w:r>
            <w:r>
              <w:tab/>
            </w:r>
            <w:r>
              <w:fldChar w:fldCharType="begin"/>
            </w:r>
            <w:r>
              <w:instrText xml:space="preserve"> PAGEREF _Toc24337 \h </w:instrText>
            </w:r>
            <w:r>
              <w:fldChar w:fldCharType="separate"/>
            </w:r>
            <w:r>
              <w:t>1</w:t>
            </w:r>
            <w:r>
              <w:fldChar w:fldCharType="end"/>
            </w:r>
          </w:hyperlink>
        </w:p>
        <w:p w14:paraId="418012AF" w14:textId="77777777" w:rsidR="0051782D" w:rsidRDefault="00000000">
          <w:pPr>
            <w:pStyle w:val="TOC2"/>
            <w:tabs>
              <w:tab w:val="right" w:leader="dot" w:pos="9355"/>
            </w:tabs>
            <w:ind w:leftChars="0" w:left="0"/>
          </w:pPr>
          <w:hyperlink w:anchor="_Toc31400" w:history="1">
            <w:r>
              <w:rPr>
                <w:rFonts w:ascii="黑体" w:eastAsia="黑体" w:hint="eastAsia"/>
                <w:szCs w:val="21"/>
              </w:rPr>
              <w:t xml:space="preserve">3 </w:t>
            </w:r>
            <w:r>
              <w:rPr>
                <w:rFonts w:hint="eastAsia"/>
              </w:rPr>
              <w:t>术语和定义</w:t>
            </w:r>
            <w:r>
              <w:tab/>
            </w:r>
            <w:r>
              <w:fldChar w:fldCharType="begin"/>
            </w:r>
            <w:r>
              <w:instrText xml:space="preserve"> PAGEREF _Toc31400 \h </w:instrText>
            </w:r>
            <w:r>
              <w:fldChar w:fldCharType="separate"/>
            </w:r>
            <w:r>
              <w:t>2</w:t>
            </w:r>
            <w:r>
              <w:fldChar w:fldCharType="end"/>
            </w:r>
          </w:hyperlink>
        </w:p>
        <w:p w14:paraId="6959AA00" w14:textId="77777777" w:rsidR="0051782D" w:rsidRDefault="00000000">
          <w:pPr>
            <w:pStyle w:val="TOC2"/>
            <w:tabs>
              <w:tab w:val="right" w:leader="dot" w:pos="9355"/>
            </w:tabs>
            <w:ind w:leftChars="0" w:left="0"/>
          </w:pPr>
          <w:hyperlink w:anchor="_Toc5952" w:history="1">
            <w:r>
              <w:rPr>
                <w:rFonts w:ascii="黑体" w:eastAsia="黑体" w:hint="eastAsia"/>
                <w:szCs w:val="21"/>
              </w:rPr>
              <w:t xml:space="preserve">4 </w:t>
            </w:r>
            <w:r>
              <w:rPr>
                <w:rFonts w:hint="eastAsia"/>
              </w:rPr>
              <w:t>总则</w:t>
            </w:r>
            <w:r>
              <w:tab/>
            </w:r>
            <w:r>
              <w:fldChar w:fldCharType="begin"/>
            </w:r>
            <w:r>
              <w:instrText xml:space="preserve"> PAGEREF _Toc5952 \h </w:instrText>
            </w:r>
            <w:r>
              <w:fldChar w:fldCharType="separate"/>
            </w:r>
            <w:r>
              <w:t>3</w:t>
            </w:r>
            <w:r>
              <w:fldChar w:fldCharType="end"/>
            </w:r>
          </w:hyperlink>
        </w:p>
        <w:p w14:paraId="2FDBA774" w14:textId="77777777" w:rsidR="0051782D" w:rsidRDefault="00000000">
          <w:pPr>
            <w:pStyle w:val="TOC2"/>
            <w:tabs>
              <w:tab w:val="right" w:leader="dot" w:pos="9355"/>
            </w:tabs>
            <w:ind w:leftChars="0" w:left="0"/>
          </w:pPr>
          <w:hyperlink w:anchor="_Toc9880" w:history="1">
            <w:r>
              <w:rPr>
                <w:rFonts w:ascii="黑体" w:eastAsia="黑体" w:hint="eastAsia"/>
                <w:szCs w:val="21"/>
              </w:rPr>
              <w:t xml:space="preserve">5 </w:t>
            </w:r>
            <w:r>
              <w:rPr>
                <w:rFonts w:hint="eastAsia"/>
              </w:rPr>
              <w:t>接入配电网一次系统要求</w:t>
            </w:r>
            <w:r>
              <w:tab/>
            </w:r>
            <w:r>
              <w:fldChar w:fldCharType="begin"/>
            </w:r>
            <w:r>
              <w:instrText xml:space="preserve"> PAGEREF _Toc9880 \h </w:instrText>
            </w:r>
            <w:r>
              <w:fldChar w:fldCharType="separate"/>
            </w:r>
            <w:r>
              <w:t>3</w:t>
            </w:r>
            <w:r>
              <w:fldChar w:fldCharType="end"/>
            </w:r>
          </w:hyperlink>
        </w:p>
        <w:p w14:paraId="18B3E4BC" w14:textId="77777777" w:rsidR="0051782D" w:rsidRDefault="00000000">
          <w:pPr>
            <w:pStyle w:val="TOC3"/>
            <w:tabs>
              <w:tab w:val="clear" w:pos="9241"/>
              <w:tab w:val="right" w:leader="dot" w:pos="9355"/>
            </w:tabs>
            <w:ind w:firstLineChars="200" w:firstLine="420"/>
          </w:pPr>
          <w:hyperlink w:anchor="_Toc25285" w:history="1">
            <w:r>
              <w:rPr>
                <w:rFonts w:ascii="黑体" w:eastAsia="黑体" w:hint="eastAsia"/>
                <w:kern w:val="0"/>
              </w:rPr>
              <w:t xml:space="preserve">5.1 </w:t>
            </w:r>
            <w:r>
              <w:rPr>
                <w:rFonts w:hAnsi="黑体" w:cs="黑体" w:hint="eastAsia"/>
                <w:szCs w:val="22"/>
              </w:rPr>
              <w:t>一般原则</w:t>
            </w:r>
            <w:r>
              <w:tab/>
            </w:r>
            <w:r>
              <w:fldChar w:fldCharType="begin"/>
            </w:r>
            <w:r>
              <w:instrText xml:space="preserve"> PAGEREF _Toc25285 \h </w:instrText>
            </w:r>
            <w:r>
              <w:fldChar w:fldCharType="separate"/>
            </w:r>
            <w:r>
              <w:t>3</w:t>
            </w:r>
            <w:r>
              <w:fldChar w:fldCharType="end"/>
            </w:r>
          </w:hyperlink>
        </w:p>
        <w:p w14:paraId="485AC0BC" w14:textId="77777777" w:rsidR="0051782D" w:rsidRDefault="00000000">
          <w:pPr>
            <w:pStyle w:val="TOC3"/>
            <w:tabs>
              <w:tab w:val="clear" w:pos="9241"/>
              <w:tab w:val="right" w:leader="dot" w:pos="9355"/>
            </w:tabs>
            <w:ind w:firstLineChars="200" w:firstLine="420"/>
          </w:pPr>
          <w:hyperlink w:anchor="_Toc10913" w:history="1">
            <w:r>
              <w:rPr>
                <w:rFonts w:ascii="黑体" w:eastAsia="黑体" w:hint="eastAsia"/>
                <w:kern w:val="0"/>
              </w:rPr>
              <w:t xml:space="preserve">5.2 </w:t>
            </w:r>
            <w:r>
              <w:rPr>
                <w:rFonts w:hAnsi="黑体" w:cs="黑体" w:hint="eastAsia"/>
              </w:rPr>
              <w:t>充电站等级</w:t>
            </w:r>
            <w:r>
              <w:tab/>
            </w:r>
            <w:r>
              <w:fldChar w:fldCharType="begin"/>
            </w:r>
            <w:r>
              <w:instrText xml:space="preserve"> PAGEREF _Toc10913 \h </w:instrText>
            </w:r>
            <w:r>
              <w:fldChar w:fldCharType="separate"/>
            </w:r>
            <w:r>
              <w:t>4</w:t>
            </w:r>
            <w:r>
              <w:fldChar w:fldCharType="end"/>
            </w:r>
          </w:hyperlink>
        </w:p>
        <w:p w14:paraId="5CA0CE3A" w14:textId="77777777" w:rsidR="0051782D" w:rsidRDefault="00000000">
          <w:pPr>
            <w:pStyle w:val="TOC3"/>
            <w:tabs>
              <w:tab w:val="clear" w:pos="9241"/>
              <w:tab w:val="right" w:leader="dot" w:pos="9355"/>
            </w:tabs>
            <w:ind w:firstLineChars="200" w:firstLine="420"/>
          </w:pPr>
          <w:hyperlink w:anchor="_Toc10711" w:history="1">
            <w:r>
              <w:rPr>
                <w:rFonts w:ascii="黑体" w:eastAsia="黑体" w:hint="eastAsia"/>
                <w:kern w:val="0"/>
              </w:rPr>
              <w:t xml:space="preserve">5.3 </w:t>
            </w:r>
            <w:r>
              <w:rPr>
                <w:rFonts w:hAnsi="黑体" w:cs="黑体" w:hint="eastAsia"/>
              </w:rPr>
              <w:t>电压等级</w:t>
            </w:r>
            <w:r>
              <w:tab/>
            </w:r>
            <w:r>
              <w:fldChar w:fldCharType="begin"/>
            </w:r>
            <w:r>
              <w:instrText xml:space="preserve"> PAGEREF _Toc10711 \h </w:instrText>
            </w:r>
            <w:r>
              <w:fldChar w:fldCharType="separate"/>
            </w:r>
            <w:r>
              <w:t>4</w:t>
            </w:r>
            <w:r>
              <w:fldChar w:fldCharType="end"/>
            </w:r>
          </w:hyperlink>
        </w:p>
        <w:p w14:paraId="2014706C" w14:textId="77777777" w:rsidR="0051782D" w:rsidRDefault="00000000">
          <w:pPr>
            <w:pStyle w:val="TOC3"/>
            <w:tabs>
              <w:tab w:val="clear" w:pos="9241"/>
              <w:tab w:val="right" w:leader="dot" w:pos="9355"/>
            </w:tabs>
            <w:ind w:firstLineChars="200" w:firstLine="420"/>
          </w:pPr>
          <w:hyperlink w:anchor="_Toc1032" w:history="1">
            <w:r>
              <w:rPr>
                <w:rFonts w:ascii="黑体" w:eastAsia="黑体" w:hint="eastAsia"/>
                <w:kern w:val="0"/>
              </w:rPr>
              <w:t xml:space="preserve">5.4 </w:t>
            </w:r>
            <w:r>
              <w:rPr>
                <w:rFonts w:hAnsi="黑体" w:cs="黑体" w:hint="eastAsia"/>
              </w:rPr>
              <w:t>公共连接点</w:t>
            </w:r>
            <w:r>
              <w:tab/>
            </w:r>
            <w:r>
              <w:fldChar w:fldCharType="begin"/>
            </w:r>
            <w:r>
              <w:instrText xml:space="preserve"> PAGEREF _Toc1032 \h </w:instrText>
            </w:r>
            <w:r>
              <w:fldChar w:fldCharType="separate"/>
            </w:r>
            <w:r>
              <w:t>4</w:t>
            </w:r>
            <w:r>
              <w:fldChar w:fldCharType="end"/>
            </w:r>
          </w:hyperlink>
        </w:p>
        <w:p w14:paraId="4B29A18C" w14:textId="77777777" w:rsidR="0051782D" w:rsidRDefault="00000000">
          <w:pPr>
            <w:pStyle w:val="TOC3"/>
            <w:tabs>
              <w:tab w:val="clear" w:pos="9241"/>
              <w:tab w:val="right" w:leader="dot" w:pos="9355"/>
            </w:tabs>
            <w:ind w:firstLineChars="200" w:firstLine="420"/>
          </w:pPr>
          <w:hyperlink w:anchor="_Toc6504" w:history="1">
            <w:r>
              <w:rPr>
                <w:rFonts w:ascii="黑体" w:eastAsia="黑体" w:hint="eastAsia"/>
                <w:kern w:val="0"/>
              </w:rPr>
              <w:t xml:space="preserve">5.5 </w:t>
            </w:r>
            <w:r>
              <w:rPr>
                <w:rFonts w:hAnsi="黑体" w:cs="黑体" w:hint="eastAsia"/>
              </w:rPr>
              <w:t>接线方式</w:t>
            </w:r>
            <w:r>
              <w:tab/>
            </w:r>
            <w:r>
              <w:fldChar w:fldCharType="begin"/>
            </w:r>
            <w:r>
              <w:instrText xml:space="preserve"> PAGEREF _Toc6504 \h </w:instrText>
            </w:r>
            <w:r>
              <w:fldChar w:fldCharType="separate"/>
            </w:r>
            <w:r>
              <w:t>4</w:t>
            </w:r>
            <w:r>
              <w:fldChar w:fldCharType="end"/>
            </w:r>
          </w:hyperlink>
        </w:p>
        <w:p w14:paraId="1727482F" w14:textId="77777777" w:rsidR="0051782D" w:rsidRDefault="00000000">
          <w:pPr>
            <w:pStyle w:val="TOC3"/>
            <w:tabs>
              <w:tab w:val="clear" w:pos="9241"/>
              <w:tab w:val="right" w:leader="dot" w:pos="9355"/>
            </w:tabs>
            <w:ind w:firstLineChars="200" w:firstLine="420"/>
          </w:pPr>
          <w:hyperlink w:anchor="_Toc11037" w:history="1">
            <w:r>
              <w:rPr>
                <w:rFonts w:ascii="黑体" w:eastAsia="黑体" w:hint="eastAsia"/>
                <w:kern w:val="0"/>
              </w:rPr>
              <w:t xml:space="preserve">5.6 </w:t>
            </w:r>
            <w:r>
              <w:rPr>
                <w:rFonts w:hAnsi="黑体" w:cs="黑体" w:hint="eastAsia"/>
              </w:rPr>
              <w:t>运行方式</w:t>
            </w:r>
            <w:r>
              <w:tab/>
            </w:r>
            <w:r>
              <w:fldChar w:fldCharType="begin"/>
            </w:r>
            <w:r>
              <w:instrText xml:space="preserve"> PAGEREF _Toc11037 \h </w:instrText>
            </w:r>
            <w:r>
              <w:fldChar w:fldCharType="separate"/>
            </w:r>
            <w:r>
              <w:t>5</w:t>
            </w:r>
            <w:r>
              <w:fldChar w:fldCharType="end"/>
            </w:r>
          </w:hyperlink>
        </w:p>
        <w:p w14:paraId="5909021F" w14:textId="77777777" w:rsidR="0051782D" w:rsidRDefault="00000000">
          <w:pPr>
            <w:pStyle w:val="TOC3"/>
            <w:tabs>
              <w:tab w:val="clear" w:pos="9241"/>
              <w:tab w:val="right" w:leader="dot" w:pos="9355"/>
            </w:tabs>
            <w:ind w:firstLineChars="200" w:firstLine="420"/>
          </w:pPr>
          <w:hyperlink w:anchor="_Toc1904" w:history="1">
            <w:r>
              <w:rPr>
                <w:rFonts w:ascii="黑体" w:eastAsia="黑体" w:hint="eastAsia"/>
                <w:kern w:val="0"/>
              </w:rPr>
              <w:t xml:space="preserve">5.7 </w:t>
            </w:r>
            <w:r>
              <w:rPr>
                <w:rFonts w:hAnsi="黑体" w:cs="黑体" w:hint="eastAsia"/>
              </w:rPr>
              <w:t>无功补偿</w:t>
            </w:r>
            <w:r>
              <w:tab/>
            </w:r>
            <w:r>
              <w:fldChar w:fldCharType="begin"/>
            </w:r>
            <w:r>
              <w:instrText xml:space="preserve"> PAGEREF _Toc1904 \h </w:instrText>
            </w:r>
            <w:r>
              <w:fldChar w:fldCharType="separate"/>
            </w:r>
            <w:r>
              <w:t>5</w:t>
            </w:r>
            <w:r>
              <w:fldChar w:fldCharType="end"/>
            </w:r>
          </w:hyperlink>
        </w:p>
        <w:p w14:paraId="49A3514D" w14:textId="77777777" w:rsidR="0051782D" w:rsidRDefault="00000000">
          <w:pPr>
            <w:pStyle w:val="TOC3"/>
            <w:tabs>
              <w:tab w:val="clear" w:pos="9241"/>
              <w:tab w:val="right" w:leader="dot" w:pos="9355"/>
            </w:tabs>
            <w:ind w:firstLineChars="200" w:firstLine="420"/>
          </w:pPr>
          <w:hyperlink w:anchor="_Toc26964" w:history="1">
            <w:r>
              <w:rPr>
                <w:rFonts w:ascii="黑体" w:eastAsia="黑体" w:hint="eastAsia"/>
                <w:kern w:val="0"/>
              </w:rPr>
              <w:t xml:space="preserve">5.8 </w:t>
            </w:r>
            <w:r>
              <w:rPr>
                <w:rFonts w:hAnsi="黑体" w:cs="黑体" w:hint="eastAsia"/>
              </w:rPr>
              <w:t>主要设备选择</w:t>
            </w:r>
            <w:r>
              <w:tab/>
            </w:r>
            <w:r>
              <w:fldChar w:fldCharType="begin"/>
            </w:r>
            <w:r>
              <w:instrText xml:space="preserve"> PAGEREF _Toc26964 \h </w:instrText>
            </w:r>
            <w:r>
              <w:fldChar w:fldCharType="separate"/>
            </w:r>
            <w:r>
              <w:t>5</w:t>
            </w:r>
            <w:r>
              <w:fldChar w:fldCharType="end"/>
            </w:r>
          </w:hyperlink>
        </w:p>
        <w:p w14:paraId="1972E259" w14:textId="77777777" w:rsidR="0051782D" w:rsidRDefault="00000000">
          <w:pPr>
            <w:pStyle w:val="TOC2"/>
            <w:tabs>
              <w:tab w:val="right" w:leader="dot" w:pos="9355"/>
            </w:tabs>
            <w:ind w:leftChars="0" w:left="0"/>
          </w:pPr>
          <w:hyperlink w:anchor="_Toc2897" w:history="1">
            <w:r>
              <w:rPr>
                <w:rFonts w:ascii="黑体" w:eastAsia="黑体" w:cs="黑体" w:hint="eastAsia"/>
                <w:szCs w:val="21"/>
              </w:rPr>
              <w:t xml:space="preserve">6 </w:t>
            </w:r>
            <w:r>
              <w:rPr>
                <w:rFonts w:hAnsi="黑体" w:cs="黑体" w:hint="eastAsia"/>
              </w:rPr>
              <w:t>接入配电网二次系统要求</w:t>
            </w:r>
            <w:r>
              <w:tab/>
            </w:r>
            <w:r>
              <w:fldChar w:fldCharType="begin"/>
            </w:r>
            <w:r>
              <w:instrText xml:space="preserve"> PAGEREF _Toc2897 \h </w:instrText>
            </w:r>
            <w:r>
              <w:fldChar w:fldCharType="separate"/>
            </w:r>
            <w:r>
              <w:t>6</w:t>
            </w:r>
            <w:r>
              <w:fldChar w:fldCharType="end"/>
            </w:r>
          </w:hyperlink>
        </w:p>
        <w:p w14:paraId="67622EF8" w14:textId="77777777" w:rsidR="0051782D" w:rsidRDefault="00000000">
          <w:pPr>
            <w:pStyle w:val="TOC3"/>
            <w:tabs>
              <w:tab w:val="clear" w:pos="9241"/>
              <w:tab w:val="right" w:leader="dot" w:pos="9355"/>
            </w:tabs>
            <w:ind w:firstLineChars="200" w:firstLine="420"/>
          </w:pPr>
          <w:hyperlink w:anchor="_Toc21613" w:history="1">
            <w:r>
              <w:rPr>
                <w:rFonts w:ascii="黑体" w:eastAsia="黑体" w:hint="eastAsia"/>
                <w:kern w:val="0"/>
              </w:rPr>
              <w:t xml:space="preserve">6.1 </w:t>
            </w:r>
            <w:r>
              <w:rPr>
                <w:rFonts w:hAnsi="黑体" w:cs="黑体" w:hint="eastAsia"/>
              </w:rPr>
              <w:t>一般原则</w:t>
            </w:r>
            <w:r>
              <w:tab/>
            </w:r>
            <w:r>
              <w:fldChar w:fldCharType="begin"/>
            </w:r>
            <w:r>
              <w:instrText xml:space="preserve"> PAGEREF _Toc21613 \h </w:instrText>
            </w:r>
            <w:r>
              <w:fldChar w:fldCharType="separate"/>
            </w:r>
            <w:r>
              <w:t>6</w:t>
            </w:r>
            <w:r>
              <w:fldChar w:fldCharType="end"/>
            </w:r>
          </w:hyperlink>
        </w:p>
        <w:p w14:paraId="3CB0DA9A" w14:textId="77777777" w:rsidR="0051782D" w:rsidRDefault="00000000">
          <w:pPr>
            <w:pStyle w:val="TOC3"/>
            <w:tabs>
              <w:tab w:val="clear" w:pos="9241"/>
              <w:tab w:val="right" w:leader="dot" w:pos="9355"/>
            </w:tabs>
            <w:ind w:firstLineChars="200" w:firstLine="420"/>
          </w:pPr>
          <w:hyperlink w:anchor="_Toc25310" w:history="1">
            <w:r>
              <w:rPr>
                <w:rFonts w:ascii="黑体" w:eastAsia="黑体" w:hint="eastAsia"/>
                <w:kern w:val="0"/>
              </w:rPr>
              <w:t xml:space="preserve">6.2 </w:t>
            </w:r>
            <w:r>
              <w:rPr>
                <w:rFonts w:hAnsi="黑体" w:cs="黑体" w:hint="eastAsia"/>
              </w:rPr>
              <w:t>感知数据要求</w:t>
            </w:r>
            <w:r>
              <w:tab/>
            </w:r>
            <w:r>
              <w:fldChar w:fldCharType="begin"/>
            </w:r>
            <w:r>
              <w:instrText xml:space="preserve"> PAGEREF _Toc25310 \h </w:instrText>
            </w:r>
            <w:r>
              <w:fldChar w:fldCharType="separate"/>
            </w:r>
            <w:r>
              <w:t>6</w:t>
            </w:r>
            <w:r>
              <w:fldChar w:fldCharType="end"/>
            </w:r>
          </w:hyperlink>
        </w:p>
        <w:p w14:paraId="67BF1F1C" w14:textId="77777777" w:rsidR="0051782D" w:rsidRDefault="00000000">
          <w:pPr>
            <w:pStyle w:val="TOC3"/>
            <w:tabs>
              <w:tab w:val="clear" w:pos="9241"/>
              <w:tab w:val="right" w:leader="dot" w:pos="9355"/>
            </w:tabs>
            <w:ind w:firstLineChars="200" w:firstLine="420"/>
          </w:pPr>
          <w:hyperlink w:anchor="_Toc21356" w:history="1">
            <w:r>
              <w:rPr>
                <w:rFonts w:ascii="黑体" w:eastAsia="黑体" w:hint="eastAsia"/>
                <w:kern w:val="0"/>
              </w:rPr>
              <w:t xml:space="preserve">6.3 </w:t>
            </w:r>
            <w:r>
              <w:rPr>
                <w:rFonts w:hAnsi="黑体" w:cs="黑体" w:hint="eastAsia"/>
              </w:rPr>
              <w:t xml:space="preserve">感知终端部署 </w:t>
            </w:r>
            <w:r>
              <w:tab/>
            </w:r>
            <w:r>
              <w:fldChar w:fldCharType="begin"/>
            </w:r>
            <w:r>
              <w:instrText xml:space="preserve"> PAGEREF _Toc21356 \h </w:instrText>
            </w:r>
            <w:r>
              <w:fldChar w:fldCharType="separate"/>
            </w:r>
            <w:r>
              <w:t>7</w:t>
            </w:r>
            <w:r>
              <w:fldChar w:fldCharType="end"/>
            </w:r>
          </w:hyperlink>
        </w:p>
        <w:p w14:paraId="2A1954DB" w14:textId="77777777" w:rsidR="0051782D" w:rsidRDefault="00000000">
          <w:pPr>
            <w:pStyle w:val="TOC3"/>
            <w:tabs>
              <w:tab w:val="clear" w:pos="9241"/>
              <w:tab w:val="right" w:leader="dot" w:pos="9355"/>
            </w:tabs>
            <w:ind w:firstLineChars="200" w:firstLine="420"/>
          </w:pPr>
          <w:hyperlink w:anchor="_Toc25228" w:history="1">
            <w:r>
              <w:rPr>
                <w:rFonts w:ascii="黑体" w:eastAsia="黑体" w:hint="eastAsia"/>
                <w:kern w:val="0"/>
              </w:rPr>
              <w:t xml:space="preserve">6.4 </w:t>
            </w:r>
            <w:r>
              <w:rPr>
                <w:rFonts w:hAnsi="黑体" w:cs="黑体" w:hint="eastAsia"/>
              </w:rPr>
              <w:t>通信及自动化</w:t>
            </w:r>
            <w:r>
              <w:tab/>
            </w:r>
            <w:r>
              <w:fldChar w:fldCharType="begin"/>
            </w:r>
            <w:r>
              <w:instrText xml:space="preserve"> PAGEREF _Toc25228 \h </w:instrText>
            </w:r>
            <w:r>
              <w:fldChar w:fldCharType="separate"/>
            </w:r>
            <w:r>
              <w:t>7</w:t>
            </w:r>
            <w:r>
              <w:fldChar w:fldCharType="end"/>
            </w:r>
          </w:hyperlink>
        </w:p>
        <w:p w14:paraId="28D92DAD" w14:textId="77777777" w:rsidR="0051782D" w:rsidRDefault="00000000">
          <w:pPr>
            <w:pStyle w:val="TOC3"/>
            <w:tabs>
              <w:tab w:val="clear" w:pos="9241"/>
              <w:tab w:val="right" w:leader="dot" w:pos="9355"/>
            </w:tabs>
            <w:ind w:firstLineChars="200" w:firstLine="420"/>
          </w:pPr>
          <w:hyperlink w:anchor="_Toc13699" w:history="1">
            <w:r>
              <w:rPr>
                <w:rFonts w:ascii="黑体" w:eastAsia="黑体" w:hint="eastAsia"/>
                <w:kern w:val="0"/>
              </w:rPr>
              <w:t xml:space="preserve">6.5 </w:t>
            </w:r>
            <w:r>
              <w:rPr>
                <w:rFonts w:hAnsi="黑体" w:cs="黑体" w:hint="eastAsia"/>
              </w:rPr>
              <w:t>平台交互</w:t>
            </w:r>
            <w:r>
              <w:tab/>
            </w:r>
            <w:r>
              <w:fldChar w:fldCharType="begin"/>
            </w:r>
            <w:r>
              <w:instrText xml:space="preserve"> PAGEREF _Toc13699 \h </w:instrText>
            </w:r>
            <w:r>
              <w:fldChar w:fldCharType="separate"/>
            </w:r>
            <w:r>
              <w:t>7</w:t>
            </w:r>
            <w:r>
              <w:fldChar w:fldCharType="end"/>
            </w:r>
          </w:hyperlink>
        </w:p>
        <w:p w14:paraId="2EBA10B4" w14:textId="77777777" w:rsidR="0051782D" w:rsidRDefault="00000000">
          <w:pPr>
            <w:pStyle w:val="TOC3"/>
            <w:tabs>
              <w:tab w:val="clear" w:pos="9241"/>
              <w:tab w:val="right" w:leader="dot" w:pos="9355"/>
            </w:tabs>
            <w:ind w:firstLineChars="200" w:firstLine="420"/>
          </w:pPr>
          <w:hyperlink w:anchor="_Toc5005" w:history="1">
            <w:r>
              <w:rPr>
                <w:rFonts w:ascii="黑体" w:eastAsia="黑体" w:hint="eastAsia"/>
                <w:kern w:val="0"/>
              </w:rPr>
              <w:t xml:space="preserve">6.6 </w:t>
            </w:r>
            <w:r>
              <w:rPr>
                <w:rFonts w:hAnsi="黑体" w:cs="黑体" w:hint="eastAsia"/>
              </w:rPr>
              <w:t>数据安全</w:t>
            </w:r>
            <w:r>
              <w:tab/>
            </w:r>
            <w:r>
              <w:fldChar w:fldCharType="begin"/>
            </w:r>
            <w:r>
              <w:instrText xml:space="preserve"> PAGEREF _Toc5005 \h </w:instrText>
            </w:r>
            <w:r>
              <w:fldChar w:fldCharType="separate"/>
            </w:r>
            <w:r>
              <w:t>8</w:t>
            </w:r>
            <w:r>
              <w:fldChar w:fldCharType="end"/>
            </w:r>
          </w:hyperlink>
        </w:p>
        <w:p w14:paraId="331F8E7A" w14:textId="77777777" w:rsidR="0051782D" w:rsidRDefault="00000000">
          <w:pPr>
            <w:pStyle w:val="TOC3"/>
            <w:tabs>
              <w:tab w:val="clear" w:pos="9241"/>
              <w:tab w:val="right" w:leader="dot" w:pos="9355"/>
            </w:tabs>
            <w:ind w:firstLineChars="200" w:firstLine="420"/>
          </w:pPr>
          <w:hyperlink w:anchor="_Toc11471" w:history="1">
            <w:r>
              <w:rPr>
                <w:rFonts w:ascii="黑体" w:eastAsia="黑体" w:hint="eastAsia"/>
                <w:kern w:val="0"/>
              </w:rPr>
              <w:t xml:space="preserve">6.7 </w:t>
            </w:r>
            <w:r>
              <w:rPr>
                <w:rFonts w:hAnsi="黑体" w:cs="黑体" w:hint="eastAsia"/>
              </w:rPr>
              <w:t>保护</w:t>
            </w:r>
            <w:r>
              <w:tab/>
            </w:r>
            <w:r>
              <w:fldChar w:fldCharType="begin"/>
            </w:r>
            <w:r>
              <w:instrText xml:space="preserve"> PAGEREF _Toc11471 \h </w:instrText>
            </w:r>
            <w:r>
              <w:fldChar w:fldCharType="separate"/>
            </w:r>
            <w:r>
              <w:t>8</w:t>
            </w:r>
            <w:r>
              <w:fldChar w:fldCharType="end"/>
            </w:r>
          </w:hyperlink>
        </w:p>
        <w:p w14:paraId="5CA9A3ED" w14:textId="77777777" w:rsidR="0051782D" w:rsidRDefault="00000000">
          <w:pPr>
            <w:pStyle w:val="TOC3"/>
            <w:tabs>
              <w:tab w:val="clear" w:pos="9241"/>
              <w:tab w:val="right" w:leader="dot" w:pos="9355"/>
            </w:tabs>
            <w:ind w:firstLineChars="200" w:firstLine="420"/>
          </w:pPr>
          <w:hyperlink w:anchor="_Toc20992" w:history="1">
            <w:r>
              <w:rPr>
                <w:rFonts w:ascii="黑体" w:eastAsia="黑体" w:hint="eastAsia"/>
                <w:kern w:val="0"/>
              </w:rPr>
              <w:t xml:space="preserve">6.8 </w:t>
            </w:r>
            <w:r>
              <w:rPr>
                <w:rFonts w:hAnsi="黑体" w:cs="黑体" w:hint="eastAsia"/>
              </w:rPr>
              <w:t>计量与测量</w:t>
            </w:r>
            <w:r>
              <w:tab/>
            </w:r>
            <w:r>
              <w:fldChar w:fldCharType="begin"/>
            </w:r>
            <w:r>
              <w:instrText xml:space="preserve"> PAGEREF _Toc20992 \h </w:instrText>
            </w:r>
            <w:r>
              <w:fldChar w:fldCharType="separate"/>
            </w:r>
            <w:r>
              <w:t>9</w:t>
            </w:r>
            <w:r>
              <w:fldChar w:fldCharType="end"/>
            </w:r>
          </w:hyperlink>
        </w:p>
        <w:p w14:paraId="7302B17B" w14:textId="77777777" w:rsidR="0051782D" w:rsidRDefault="00000000">
          <w:pPr>
            <w:pStyle w:val="TOC2"/>
            <w:tabs>
              <w:tab w:val="right" w:leader="dot" w:pos="9355"/>
            </w:tabs>
            <w:ind w:leftChars="0" w:left="0"/>
          </w:pPr>
          <w:hyperlink w:anchor="_Toc3751" w:history="1">
            <w:r>
              <w:rPr>
                <w:rFonts w:ascii="黑体" w:eastAsia="黑体" w:cs="黑体" w:hint="eastAsia"/>
                <w:szCs w:val="21"/>
              </w:rPr>
              <w:t xml:space="preserve">7 </w:t>
            </w:r>
            <w:r>
              <w:rPr>
                <w:rFonts w:hAnsi="黑体" w:cs="黑体" w:hint="eastAsia"/>
              </w:rPr>
              <w:t>电能质量</w:t>
            </w:r>
            <w:r>
              <w:tab/>
            </w:r>
            <w:r>
              <w:fldChar w:fldCharType="begin"/>
            </w:r>
            <w:r>
              <w:instrText xml:space="preserve"> PAGEREF _Toc3751 \h </w:instrText>
            </w:r>
            <w:r>
              <w:fldChar w:fldCharType="separate"/>
            </w:r>
            <w:r>
              <w:t>10</w:t>
            </w:r>
            <w:r>
              <w:fldChar w:fldCharType="end"/>
            </w:r>
          </w:hyperlink>
        </w:p>
        <w:p w14:paraId="495FBB96" w14:textId="77777777" w:rsidR="0051782D" w:rsidRDefault="00000000">
          <w:pPr>
            <w:pStyle w:val="TOC3"/>
            <w:tabs>
              <w:tab w:val="clear" w:pos="9241"/>
              <w:tab w:val="right" w:leader="dot" w:pos="9355"/>
            </w:tabs>
            <w:ind w:firstLineChars="200" w:firstLine="420"/>
          </w:pPr>
          <w:hyperlink w:anchor="_Toc17673" w:history="1">
            <w:r>
              <w:rPr>
                <w:rFonts w:ascii="黑体" w:eastAsia="黑体" w:hint="eastAsia"/>
                <w:kern w:val="0"/>
              </w:rPr>
              <w:t xml:space="preserve">7.1 </w:t>
            </w:r>
            <w:r>
              <w:rPr>
                <w:rFonts w:hAnsi="黑体" w:cs="黑体" w:hint="eastAsia"/>
              </w:rPr>
              <w:t>谐波</w:t>
            </w:r>
            <w:r>
              <w:tab/>
            </w:r>
            <w:r>
              <w:fldChar w:fldCharType="begin"/>
            </w:r>
            <w:r>
              <w:instrText xml:space="preserve"> PAGEREF _Toc17673 \h </w:instrText>
            </w:r>
            <w:r>
              <w:fldChar w:fldCharType="separate"/>
            </w:r>
            <w:r>
              <w:t>10</w:t>
            </w:r>
            <w:r>
              <w:fldChar w:fldCharType="end"/>
            </w:r>
          </w:hyperlink>
        </w:p>
        <w:p w14:paraId="78AC45BA" w14:textId="77777777" w:rsidR="0051782D" w:rsidRDefault="00000000">
          <w:pPr>
            <w:pStyle w:val="TOC3"/>
            <w:tabs>
              <w:tab w:val="clear" w:pos="9241"/>
              <w:tab w:val="right" w:leader="dot" w:pos="9355"/>
            </w:tabs>
            <w:ind w:firstLineChars="200" w:firstLine="420"/>
          </w:pPr>
          <w:hyperlink w:anchor="_Toc5781" w:history="1">
            <w:r>
              <w:rPr>
                <w:rFonts w:ascii="黑体" w:eastAsia="黑体" w:hint="eastAsia"/>
                <w:snapToGrid w:val="0"/>
                <w:kern w:val="0"/>
              </w:rPr>
              <w:t xml:space="preserve">7.2 </w:t>
            </w:r>
            <w:r>
              <w:rPr>
                <w:rFonts w:hAnsi="黑体" w:cs="黑体" w:hint="eastAsia"/>
              </w:rPr>
              <w:t>电压</w:t>
            </w:r>
            <w:r>
              <w:rPr>
                <w:rFonts w:hint="eastAsia"/>
                <w:snapToGrid w:val="0"/>
              </w:rPr>
              <w:t>偏差</w:t>
            </w:r>
            <w:r>
              <w:tab/>
            </w:r>
            <w:r>
              <w:fldChar w:fldCharType="begin"/>
            </w:r>
            <w:r>
              <w:instrText xml:space="preserve"> PAGEREF _Toc5781 \h </w:instrText>
            </w:r>
            <w:r>
              <w:fldChar w:fldCharType="separate"/>
            </w:r>
            <w:r>
              <w:t>11</w:t>
            </w:r>
            <w:r>
              <w:fldChar w:fldCharType="end"/>
            </w:r>
          </w:hyperlink>
        </w:p>
        <w:p w14:paraId="03FBE16B" w14:textId="77777777" w:rsidR="0051782D" w:rsidRDefault="00000000">
          <w:pPr>
            <w:pStyle w:val="TOC3"/>
            <w:tabs>
              <w:tab w:val="clear" w:pos="9241"/>
              <w:tab w:val="right" w:leader="dot" w:pos="9355"/>
            </w:tabs>
            <w:ind w:firstLineChars="200" w:firstLine="420"/>
          </w:pPr>
          <w:hyperlink w:anchor="_Toc9332" w:history="1">
            <w:r>
              <w:rPr>
                <w:rFonts w:ascii="黑体" w:eastAsia="黑体" w:hint="eastAsia"/>
                <w:snapToGrid w:val="0"/>
                <w:kern w:val="0"/>
              </w:rPr>
              <w:t xml:space="preserve">7.3 </w:t>
            </w:r>
            <w:r>
              <w:rPr>
                <w:rFonts w:hAnsi="黑体" w:cs="黑体" w:hint="eastAsia"/>
              </w:rPr>
              <w:t>电压</w:t>
            </w:r>
            <w:r>
              <w:rPr>
                <w:rFonts w:hint="eastAsia"/>
                <w:snapToGrid w:val="0"/>
              </w:rPr>
              <w:t>不平衡度</w:t>
            </w:r>
            <w:r>
              <w:tab/>
            </w:r>
            <w:r>
              <w:fldChar w:fldCharType="begin"/>
            </w:r>
            <w:r>
              <w:instrText xml:space="preserve"> PAGEREF _Toc9332 \h </w:instrText>
            </w:r>
            <w:r>
              <w:fldChar w:fldCharType="separate"/>
            </w:r>
            <w:r>
              <w:t>11</w:t>
            </w:r>
            <w:r>
              <w:fldChar w:fldCharType="end"/>
            </w:r>
          </w:hyperlink>
        </w:p>
        <w:p w14:paraId="71036843" w14:textId="77777777" w:rsidR="0051782D" w:rsidRDefault="00000000">
          <w:pPr>
            <w:pStyle w:val="TOC3"/>
            <w:tabs>
              <w:tab w:val="clear" w:pos="9241"/>
              <w:tab w:val="right" w:leader="dot" w:pos="9355"/>
            </w:tabs>
            <w:ind w:firstLineChars="200" w:firstLine="420"/>
          </w:pPr>
          <w:hyperlink w:anchor="_Toc13907" w:history="1">
            <w:r>
              <w:rPr>
                <w:rFonts w:ascii="黑体" w:eastAsia="黑体" w:hint="eastAsia"/>
                <w:snapToGrid w:val="0"/>
                <w:kern w:val="0"/>
              </w:rPr>
              <w:t xml:space="preserve">7.4 </w:t>
            </w:r>
            <w:r>
              <w:rPr>
                <w:rFonts w:hAnsi="黑体" w:cs="黑体" w:hint="eastAsia"/>
              </w:rPr>
              <w:t>电压</w:t>
            </w:r>
            <w:r>
              <w:rPr>
                <w:rFonts w:hint="eastAsia"/>
                <w:snapToGrid w:val="0"/>
              </w:rPr>
              <w:t>波动</w:t>
            </w:r>
            <w:r>
              <w:tab/>
            </w:r>
            <w:r>
              <w:fldChar w:fldCharType="begin"/>
            </w:r>
            <w:r>
              <w:instrText xml:space="preserve"> PAGEREF _Toc13907 \h </w:instrText>
            </w:r>
            <w:r>
              <w:fldChar w:fldCharType="separate"/>
            </w:r>
            <w:r>
              <w:t>11</w:t>
            </w:r>
            <w:r>
              <w:fldChar w:fldCharType="end"/>
            </w:r>
          </w:hyperlink>
        </w:p>
        <w:p w14:paraId="2AC3BA7E" w14:textId="77777777" w:rsidR="0051782D" w:rsidRDefault="00000000">
          <w:pPr>
            <w:pStyle w:val="TOC3"/>
            <w:tabs>
              <w:tab w:val="clear" w:pos="9241"/>
              <w:tab w:val="right" w:leader="dot" w:pos="9355"/>
            </w:tabs>
            <w:ind w:firstLineChars="200" w:firstLine="420"/>
          </w:pPr>
          <w:hyperlink w:anchor="_Toc17266" w:history="1">
            <w:r>
              <w:rPr>
                <w:rFonts w:ascii="黑体" w:eastAsia="黑体" w:hint="eastAsia"/>
                <w:snapToGrid w:val="0"/>
                <w:kern w:val="0"/>
              </w:rPr>
              <w:t xml:space="preserve">7.5 </w:t>
            </w:r>
            <w:r>
              <w:rPr>
                <w:rFonts w:hint="eastAsia"/>
                <w:snapToGrid w:val="0"/>
              </w:rPr>
              <w:t>闪变</w:t>
            </w:r>
            <w:r>
              <w:tab/>
            </w:r>
            <w:r>
              <w:fldChar w:fldCharType="begin"/>
            </w:r>
            <w:r>
              <w:instrText xml:space="preserve"> PAGEREF _Toc17266 \h </w:instrText>
            </w:r>
            <w:r>
              <w:fldChar w:fldCharType="separate"/>
            </w:r>
            <w:r>
              <w:t>12</w:t>
            </w:r>
            <w:r>
              <w:fldChar w:fldCharType="end"/>
            </w:r>
          </w:hyperlink>
        </w:p>
        <w:p w14:paraId="31D639D5" w14:textId="77777777" w:rsidR="0051782D" w:rsidRDefault="00000000">
          <w:pPr>
            <w:pStyle w:val="TOC3"/>
            <w:tabs>
              <w:tab w:val="clear" w:pos="9241"/>
              <w:tab w:val="right" w:leader="dot" w:pos="9355"/>
            </w:tabs>
            <w:ind w:firstLineChars="200" w:firstLine="420"/>
          </w:pPr>
          <w:hyperlink w:anchor="_Toc13389" w:history="1">
            <w:r>
              <w:rPr>
                <w:rFonts w:ascii="黑体" w:eastAsia="黑体" w:hint="eastAsia"/>
                <w:snapToGrid w:val="0"/>
                <w:kern w:val="0"/>
              </w:rPr>
              <w:t xml:space="preserve">7.6 </w:t>
            </w:r>
            <w:r>
              <w:rPr>
                <w:rFonts w:hAnsi="黑体" w:cs="黑体" w:hint="eastAsia"/>
              </w:rPr>
              <w:t>频率</w:t>
            </w:r>
            <w:r>
              <w:rPr>
                <w:rFonts w:hint="eastAsia"/>
                <w:snapToGrid w:val="0"/>
              </w:rPr>
              <w:t>偏差</w:t>
            </w:r>
            <w:r>
              <w:tab/>
            </w:r>
            <w:r>
              <w:fldChar w:fldCharType="begin"/>
            </w:r>
            <w:r>
              <w:instrText xml:space="preserve"> PAGEREF _Toc13389 \h </w:instrText>
            </w:r>
            <w:r>
              <w:fldChar w:fldCharType="separate"/>
            </w:r>
            <w:r>
              <w:t>12</w:t>
            </w:r>
            <w:r>
              <w:fldChar w:fldCharType="end"/>
            </w:r>
          </w:hyperlink>
        </w:p>
        <w:p w14:paraId="027573DA" w14:textId="77777777" w:rsidR="0051782D" w:rsidRDefault="00000000">
          <w:pPr>
            <w:pStyle w:val="TOC3"/>
            <w:tabs>
              <w:tab w:val="clear" w:pos="9241"/>
              <w:tab w:val="right" w:leader="dot" w:pos="9355"/>
            </w:tabs>
            <w:ind w:firstLineChars="200" w:firstLine="420"/>
          </w:pPr>
          <w:hyperlink w:anchor="_Toc14276" w:history="1">
            <w:r>
              <w:rPr>
                <w:rFonts w:ascii="黑体" w:eastAsia="黑体" w:hint="eastAsia"/>
                <w:snapToGrid w:val="0"/>
                <w:kern w:val="0"/>
              </w:rPr>
              <w:t xml:space="preserve">7.7 </w:t>
            </w:r>
            <w:r>
              <w:rPr>
                <w:rFonts w:hint="eastAsia"/>
                <w:snapToGrid w:val="0"/>
              </w:rPr>
              <w:t>监测</w:t>
            </w:r>
            <w:r>
              <w:rPr>
                <w:rFonts w:hAnsi="黑体" w:cs="黑体" w:hint="eastAsia"/>
              </w:rPr>
              <w:t>要求</w:t>
            </w:r>
            <w:r>
              <w:tab/>
            </w:r>
            <w:r>
              <w:fldChar w:fldCharType="begin"/>
            </w:r>
            <w:r>
              <w:instrText xml:space="preserve"> PAGEREF _Toc14276 \h </w:instrText>
            </w:r>
            <w:r>
              <w:fldChar w:fldCharType="separate"/>
            </w:r>
            <w:r>
              <w:t>12</w:t>
            </w:r>
            <w:r>
              <w:fldChar w:fldCharType="end"/>
            </w:r>
          </w:hyperlink>
        </w:p>
        <w:p w14:paraId="6EEA3301" w14:textId="77777777" w:rsidR="0051782D" w:rsidRDefault="00000000">
          <w:pPr>
            <w:pStyle w:val="TOC2"/>
            <w:tabs>
              <w:tab w:val="right" w:leader="dot" w:pos="9355"/>
            </w:tabs>
            <w:ind w:leftChars="0" w:left="0"/>
          </w:pPr>
          <w:hyperlink w:anchor="_Toc2554" w:history="1">
            <w:r>
              <w:rPr>
                <w:rFonts w:ascii="黑体" w:eastAsia="黑体" w:cs="黑体" w:hint="eastAsia"/>
                <w:szCs w:val="21"/>
              </w:rPr>
              <w:t xml:space="preserve">8 </w:t>
            </w:r>
            <w:r>
              <w:rPr>
                <w:rFonts w:hAnsi="黑体" w:cs="黑体" w:hint="eastAsia"/>
              </w:rPr>
              <w:t>调节控制</w:t>
            </w:r>
            <w:r>
              <w:tab/>
            </w:r>
            <w:r>
              <w:fldChar w:fldCharType="begin"/>
            </w:r>
            <w:r>
              <w:instrText xml:space="preserve"> PAGEREF _Toc2554 \h </w:instrText>
            </w:r>
            <w:r>
              <w:fldChar w:fldCharType="separate"/>
            </w:r>
            <w:r>
              <w:t>12</w:t>
            </w:r>
            <w:r>
              <w:fldChar w:fldCharType="end"/>
            </w:r>
          </w:hyperlink>
        </w:p>
        <w:p w14:paraId="29B3B224" w14:textId="77777777" w:rsidR="0051782D" w:rsidRDefault="00000000">
          <w:pPr>
            <w:pStyle w:val="TOC2"/>
            <w:tabs>
              <w:tab w:val="right" w:leader="dot" w:pos="9355"/>
            </w:tabs>
            <w:ind w:leftChars="0" w:left="0"/>
          </w:pPr>
          <w:hyperlink w:anchor="_Toc24783" w:history="1">
            <w:r>
              <w:rPr>
                <w:rFonts w:ascii="黑体" w:eastAsia="黑体" w:cs="黑体" w:hint="eastAsia"/>
                <w:szCs w:val="21"/>
              </w:rPr>
              <w:t xml:space="preserve">9 </w:t>
            </w:r>
            <w:r>
              <w:rPr>
                <w:rFonts w:hAnsi="黑体" w:cs="黑体" w:hint="eastAsia"/>
              </w:rPr>
              <w:t>新技术应用</w:t>
            </w:r>
            <w:r>
              <w:tab/>
            </w:r>
            <w:r>
              <w:fldChar w:fldCharType="begin"/>
            </w:r>
            <w:r>
              <w:instrText xml:space="preserve"> PAGEREF _Toc24783 \h </w:instrText>
            </w:r>
            <w:r>
              <w:fldChar w:fldCharType="separate"/>
            </w:r>
            <w:r>
              <w:t>13</w:t>
            </w:r>
            <w:r>
              <w:fldChar w:fldCharType="end"/>
            </w:r>
          </w:hyperlink>
        </w:p>
        <w:p w14:paraId="6DC5D489" w14:textId="77777777" w:rsidR="0051782D" w:rsidRDefault="00000000">
          <w:pPr>
            <w:pStyle w:val="TOC3"/>
            <w:tabs>
              <w:tab w:val="clear" w:pos="9241"/>
              <w:tab w:val="left" w:pos="2262"/>
            </w:tabs>
            <w:ind w:firstLine="210"/>
          </w:pPr>
          <w:r>
            <w:rPr>
              <w:rFonts w:hint="eastAsia"/>
            </w:rPr>
            <w:tab/>
          </w:r>
        </w:p>
        <w:p w14:paraId="59777438" w14:textId="77777777" w:rsidR="0051782D" w:rsidRDefault="00000000">
          <w:r>
            <w:fldChar w:fldCharType="end"/>
          </w:r>
        </w:p>
      </w:sdtContent>
    </w:sdt>
    <w:p w14:paraId="56B26A46" w14:textId="77777777" w:rsidR="0051782D" w:rsidRDefault="0051782D">
      <w:pPr>
        <w:pStyle w:val="WPSOffice1"/>
        <w:tabs>
          <w:tab w:val="right" w:leader="dot" w:pos="9355"/>
        </w:tabs>
      </w:pPr>
    </w:p>
    <w:bookmarkEnd w:id="15"/>
    <w:bookmarkEnd w:id="14"/>
    <w:p w14:paraId="15A3E8C8" w14:textId="77777777" w:rsidR="0051782D" w:rsidRDefault="0051782D">
      <w:pPr>
        <w:pStyle w:val="aff6"/>
        <w:ind w:firstLineChars="0" w:firstLine="0"/>
        <w:jc w:val="distribute"/>
      </w:pPr>
    </w:p>
    <w:p w14:paraId="4C2602F8" w14:textId="77777777" w:rsidR="0051782D" w:rsidRDefault="00000000">
      <w:pPr>
        <w:pStyle w:val="afffb"/>
      </w:pPr>
      <w:bookmarkStart w:id="16" w:name="_Toc513731015"/>
      <w:bookmarkStart w:id="17" w:name="_Toc15570"/>
      <w:bookmarkStart w:id="18" w:name="_Toc17461"/>
      <w:bookmarkStart w:id="19" w:name="_Toc500014601"/>
      <w:bookmarkStart w:id="20" w:name="_Toc31628"/>
      <w:bookmarkStart w:id="21" w:name="_Toc15539"/>
      <w:bookmarkStart w:id="22" w:name="_Toc500751144"/>
      <w:bookmarkStart w:id="23" w:name="_Toc513731103"/>
      <w:bookmarkStart w:id="24" w:name="_Toc15912"/>
      <w:bookmarkStart w:id="25" w:name="_Toc31375"/>
      <w:bookmarkStart w:id="26" w:name="OLE_LINK6"/>
      <w:bookmarkEnd w:id="13"/>
      <w:bookmarkEnd w:id="12"/>
      <w:bookmarkEnd w:id="11"/>
      <w:bookmarkEnd w:id="10"/>
      <w:bookmarkEnd w:id="9"/>
      <w:r>
        <w:rPr>
          <w:rFonts w:hint="eastAsia"/>
        </w:rPr>
        <w:lastRenderedPageBreak/>
        <w:t>前</w:t>
      </w:r>
      <w:bookmarkStart w:id="27" w:name="BKQY"/>
      <w:r>
        <w:rPr>
          <w:rFonts w:hAnsi="黑体"/>
        </w:rPr>
        <w:t>  </w:t>
      </w:r>
      <w:r>
        <w:rPr>
          <w:rFonts w:hint="eastAsia"/>
        </w:rPr>
        <w:t>言</w:t>
      </w:r>
      <w:bookmarkEnd w:id="16"/>
      <w:bookmarkEnd w:id="17"/>
      <w:bookmarkEnd w:id="18"/>
      <w:bookmarkEnd w:id="19"/>
      <w:bookmarkEnd w:id="20"/>
      <w:bookmarkEnd w:id="21"/>
      <w:bookmarkEnd w:id="22"/>
      <w:bookmarkEnd w:id="23"/>
      <w:bookmarkEnd w:id="24"/>
      <w:bookmarkEnd w:id="25"/>
      <w:bookmarkEnd w:id="27"/>
    </w:p>
    <w:p w14:paraId="694CB46A" w14:textId="77777777" w:rsidR="0051782D" w:rsidRDefault="00000000">
      <w:pPr>
        <w:pStyle w:val="aff6"/>
      </w:pPr>
      <w:r>
        <w:rPr>
          <w:rFonts w:hint="eastAsia"/>
        </w:rPr>
        <w:t>本标准按照《中国电机工程学会团体标准管理办法（暂行）》的要求，依据GB/T1.1-2009《标准化工作导则 第1部分:标准的结构和编写》的规则起草。</w:t>
      </w:r>
    </w:p>
    <w:p w14:paraId="3EB23BEC" w14:textId="77777777" w:rsidR="0051782D" w:rsidRDefault="00000000">
      <w:pPr>
        <w:pStyle w:val="aff6"/>
      </w:pPr>
      <w:r>
        <w:rPr>
          <w:rFonts w:hint="eastAsia"/>
        </w:rPr>
        <w:t>本标准的某些内容可能涉及专利。本标准的发布机构不承担识别这些专利的责任。</w:t>
      </w:r>
    </w:p>
    <w:p w14:paraId="56B19869" w14:textId="77777777" w:rsidR="0051782D" w:rsidRDefault="00000000">
      <w:pPr>
        <w:pStyle w:val="aff6"/>
      </w:pPr>
      <w:r>
        <w:rPr>
          <w:rFonts w:hint="eastAsia"/>
        </w:rPr>
        <w:t>本标准由中国电机工程学会提出。</w:t>
      </w:r>
    </w:p>
    <w:p w14:paraId="7630DF84" w14:textId="77777777" w:rsidR="0051782D" w:rsidRDefault="00000000">
      <w:pPr>
        <w:pStyle w:val="aff6"/>
        <w:rPr>
          <w:szCs w:val="22"/>
        </w:rPr>
      </w:pPr>
      <w:r>
        <w:rPr>
          <w:rFonts w:hint="eastAsia"/>
        </w:rPr>
        <w:t>本标准由中国电机工程学会分布式发电及智能配电专业委</w:t>
      </w:r>
      <w:r>
        <w:rPr>
          <w:rFonts w:hint="eastAsia"/>
          <w:szCs w:val="22"/>
        </w:rPr>
        <w:t>员会技术归口并解释。</w:t>
      </w:r>
    </w:p>
    <w:p w14:paraId="4BFBAFF5" w14:textId="77777777" w:rsidR="0051782D" w:rsidRDefault="00000000">
      <w:pPr>
        <w:pStyle w:val="aff6"/>
      </w:pPr>
      <w:r>
        <w:rPr>
          <w:rFonts w:hint="eastAsia"/>
          <w:szCs w:val="22"/>
        </w:rPr>
        <w:t>本标准起草单位：国网福建省电力有限公司经济技术研究院、国家电网有限公司经济技术研究院、武汉大学、福州大学、南方电网能源发展研究院、国网江苏省电力有限公司经济技术研究院、国网福建省电力有限公司漳州供电公司、国网福建省电力有限公司泉州供电公司</w:t>
      </w:r>
      <w:r>
        <w:rPr>
          <w:rFonts w:hint="eastAsia"/>
        </w:rPr>
        <w:t>、</w:t>
      </w:r>
      <w:r>
        <w:rPr>
          <w:rFonts w:hint="eastAsia"/>
          <w:szCs w:val="22"/>
        </w:rPr>
        <w:t>***、</w:t>
      </w:r>
      <w:r>
        <w:rPr>
          <w:rFonts w:hint="eastAsia"/>
        </w:rPr>
        <w:t>***、</w:t>
      </w:r>
    </w:p>
    <w:p w14:paraId="119A1E27" w14:textId="77777777" w:rsidR="0051782D" w:rsidRDefault="00000000">
      <w:pPr>
        <w:pStyle w:val="aff6"/>
      </w:pPr>
      <w:r>
        <w:rPr>
          <w:rFonts w:hint="eastAsia"/>
        </w:rPr>
        <w:t>本标准主要起草人</w:t>
      </w:r>
      <w:r>
        <w:rPr>
          <w:rFonts w:hint="eastAsia"/>
          <w:szCs w:val="22"/>
        </w:rPr>
        <w:t>：**、***、</w:t>
      </w:r>
      <w:r>
        <w:rPr>
          <w:rFonts w:hint="eastAsia"/>
        </w:rPr>
        <w:t>***、</w:t>
      </w:r>
      <w:r>
        <w:rPr>
          <w:rFonts w:hint="eastAsia"/>
          <w:szCs w:val="22"/>
        </w:rPr>
        <w:t>**、***、</w:t>
      </w:r>
      <w:r>
        <w:rPr>
          <w:rFonts w:hint="eastAsia"/>
        </w:rPr>
        <w:t>***、</w:t>
      </w:r>
      <w:r>
        <w:rPr>
          <w:rFonts w:hint="eastAsia"/>
          <w:szCs w:val="22"/>
        </w:rPr>
        <w:t>**、***、</w:t>
      </w:r>
      <w:r>
        <w:rPr>
          <w:rFonts w:hint="eastAsia"/>
        </w:rPr>
        <w:t>***。</w:t>
      </w:r>
    </w:p>
    <w:p w14:paraId="608370F8" w14:textId="77777777" w:rsidR="0051782D" w:rsidRDefault="00000000">
      <w:pPr>
        <w:pStyle w:val="aff6"/>
      </w:pPr>
      <w:r>
        <w:rPr>
          <w:rFonts w:hint="eastAsia"/>
        </w:rPr>
        <w:t>本标准为首次发布。</w:t>
      </w:r>
    </w:p>
    <w:p w14:paraId="2D91B9C7" w14:textId="77777777" w:rsidR="0051782D" w:rsidRDefault="00000000">
      <w:pPr>
        <w:ind w:firstLineChars="200" w:firstLine="420"/>
      </w:pPr>
      <w:bookmarkStart w:id="28" w:name="OLE_LINK2"/>
      <w:bookmarkStart w:id="29" w:name="OLE_LINK3"/>
      <w:r>
        <w:t>本标准在执行过程中的意见或建议反馈至中国</w:t>
      </w:r>
      <w:r>
        <w:rPr>
          <w:rFonts w:hint="eastAsia"/>
        </w:rPr>
        <w:t>电机工程学会标准执行办公室（地址：北京市西城区白广路二条</w:t>
      </w:r>
      <w:r>
        <w:rPr>
          <w:rFonts w:hint="eastAsia"/>
        </w:rPr>
        <w:t>1</w:t>
      </w:r>
      <w:r>
        <w:rPr>
          <w:rFonts w:hint="eastAsia"/>
        </w:rPr>
        <w:t>号，</w:t>
      </w:r>
      <w:r>
        <w:rPr>
          <w:rFonts w:hint="eastAsia"/>
        </w:rPr>
        <w:t>100761</w:t>
      </w:r>
      <w:r>
        <w:rPr>
          <w:rFonts w:hint="eastAsia"/>
        </w:rPr>
        <w:t>，网址：</w:t>
      </w:r>
      <w:r>
        <w:rPr>
          <w:rFonts w:hint="eastAsia"/>
        </w:rPr>
        <w:t>http://www.csee.org.cn</w:t>
      </w:r>
      <w:r>
        <w:rPr>
          <w:rFonts w:hint="eastAsia"/>
        </w:rPr>
        <w:t>，邮箱：</w:t>
      </w:r>
      <w:r>
        <w:rPr>
          <w:rFonts w:hint="eastAsia"/>
        </w:rPr>
        <w:t>cseebz@csee.org.cn</w:t>
      </w:r>
      <w:r>
        <w:rPr>
          <w:rFonts w:hint="eastAsia"/>
        </w:rPr>
        <w:t>）</w:t>
      </w:r>
      <w:r>
        <w:t>。</w:t>
      </w:r>
      <w:bookmarkEnd w:id="28"/>
      <w:bookmarkEnd w:id="29"/>
    </w:p>
    <w:p w14:paraId="4A90DF69" w14:textId="77777777" w:rsidR="0051782D" w:rsidRDefault="0051782D">
      <w:pPr>
        <w:ind w:firstLineChars="200" w:firstLine="420"/>
      </w:pPr>
    </w:p>
    <w:p w14:paraId="32D78A00" w14:textId="77777777" w:rsidR="0051782D" w:rsidRDefault="0051782D">
      <w:pPr>
        <w:ind w:firstLineChars="200" w:firstLine="420"/>
      </w:pPr>
    </w:p>
    <w:bookmarkEnd w:id="26"/>
    <w:p w14:paraId="11D5E716" w14:textId="77777777" w:rsidR="0051782D" w:rsidRDefault="0051782D">
      <w:pPr>
        <w:pStyle w:val="aff6"/>
        <w:sectPr w:rsidR="0051782D">
          <w:headerReference w:type="even" r:id="rId10"/>
          <w:headerReference w:type="default" r:id="rId11"/>
          <w:footerReference w:type="default" r:id="rId12"/>
          <w:pgSz w:w="11906" w:h="16838"/>
          <w:pgMar w:top="567" w:right="1134" w:bottom="1134" w:left="1417" w:header="1418" w:footer="1134" w:gutter="0"/>
          <w:pgNumType w:fmt="upperRoman" w:start="1"/>
          <w:cols w:space="720"/>
          <w:formProt w:val="0"/>
          <w:docGrid w:type="lines" w:linePitch="312"/>
        </w:sectPr>
      </w:pPr>
    </w:p>
    <w:p w14:paraId="560EFC99" w14:textId="77777777" w:rsidR="0051782D" w:rsidRDefault="0051782D">
      <w:pPr>
        <w:pStyle w:val="aff6"/>
      </w:pPr>
    </w:p>
    <w:p w14:paraId="17FD6FF9" w14:textId="77777777" w:rsidR="0051782D" w:rsidRDefault="0051782D">
      <w:pPr>
        <w:pStyle w:val="aff6"/>
      </w:pPr>
    </w:p>
    <w:p w14:paraId="70BD56A1" w14:textId="77777777" w:rsidR="0051782D" w:rsidRDefault="0051782D">
      <w:pPr>
        <w:pStyle w:val="aff6"/>
        <w:sectPr w:rsidR="0051782D">
          <w:type w:val="continuous"/>
          <w:pgSz w:w="11906" w:h="16838"/>
          <w:pgMar w:top="567" w:right="1134" w:bottom="1134" w:left="1417" w:header="1418" w:footer="1134" w:gutter="0"/>
          <w:pgNumType w:fmt="upperRoman" w:start="1"/>
          <w:cols w:space="720"/>
          <w:formProt w:val="0"/>
          <w:docGrid w:type="lines" w:linePitch="312"/>
        </w:sectPr>
      </w:pPr>
    </w:p>
    <w:p w14:paraId="2AB16104" w14:textId="77777777" w:rsidR="0051782D" w:rsidRDefault="00000000">
      <w:pPr>
        <w:pStyle w:val="affff0"/>
      </w:pPr>
      <w:bookmarkStart w:id="30" w:name="_Toc513731104"/>
      <w:bookmarkStart w:id="31" w:name="_Toc3186"/>
      <w:bookmarkStart w:id="32" w:name="_Toc21907"/>
      <w:bookmarkStart w:id="33" w:name="_Toc14189"/>
      <w:bookmarkStart w:id="34" w:name="_Toc513731016"/>
      <w:bookmarkStart w:id="35" w:name="_Toc24829"/>
      <w:bookmarkStart w:id="36" w:name="_Toc32414"/>
      <w:bookmarkStart w:id="37" w:name="_Toc309992149"/>
      <w:bookmarkStart w:id="38" w:name="_Toc19490"/>
      <w:r>
        <w:rPr>
          <w:rFonts w:hint="eastAsia"/>
        </w:rPr>
        <w:lastRenderedPageBreak/>
        <w:t>光储充检一体化充电站接入配电网技术规范</w:t>
      </w:r>
      <w:bookmarkEnd w:id="30"/>
      <w:bookmarkEnd w:id="31"/>
      <w:bookmarkEnd w:id="32"/>
      <w:bookmarkEnd w:id="33"/>
      <w:bookmarkEnd w:id="34"/>
      <w:bookmarkEnd w:id="35"/>
      <w:bookmarkEnd w:id="36"/>
      <w:bookmarkEnd w:id="37"/>
      <w:bookmarkEnd w:id="38"/>
    </w:p>
    <w:p w14:paraId="71E39A1C" w14:textId="77777777" w:rsidR="0051782D" w:rsidRDefault="00000000">
      <w:pPr>
        <w:pStyle w:val="a1"/>
        <w:numPr>
          <w:ilvl w:val="0"/>
          <w:numId w:val="10"/>
        </w:numPr>
        <w:ind w:left="420" w:hangingChars="200" w:hanging="420"/>
        <w:outlineLvl w:val="0"/>
      </w:pPr>
      <w:bookmarkStart w:id="39" w:name="_Toc23401"/>
      <w:bookmarkStart w:id="40" w:name="_Toc298937322"/>
      <w:bookmarkStart w:id="41" w:name="_Toc21841"/>
      <w:bookmarkStart w:id="42" w:name="_Toc309995472"/>
      <w:bookmarkStart w:id="43" w:name="_Toc298937201"/>
      <w:bookmarkStart w:id="44" w:name="_Toc309995999"/>
      <w:bookmarkStart w:id="45" w:name="_Toc304824969"/>
      <w:bookmarkStart w:id="46" w:name="_Toc298937357"/>
      <w:bookmarkStart w:id="47" w:name="_Toc9058"/>
      <w:bookmarkStart w:id="48" w:name="_Toc3986"/>
      <w:bookmarkStart w:id="49" w:name="_Toc298937152"/>
      <w:bookmarkStart w:id="50" w:name="_Toc12922"/>
      <w:bookmarkStart w:id="51" w:name="_Toc298937167"/>
      <w:bookmarkStart w:id="52" w:name="_Toc304825081"/>
      <w:bookmarkStart w:id="53" w:name="_Toc304402664"/>
      <w:bookmarkStart w:id="54" w:name="_Toc298938783"/>
      <w:bookmarkStart w:id="55" w:name="_Toc298937419"/>
      <w:bookmarkStart w:id="56" w:name="_Toc304825008"/>
      <w:bookmarkStart w:id="57" w:name="_Toc298937609"/>
      <w:bookmarkStart w:id="58" w:name="_Toc309995578"/>
      <w:bookmarkStart w:id="59" w:name="_Toc310002637"/>
      <w:bookmarkStart w:id="60" w:name="_Toc298937100"/>
      <w:bookmarkStart w:id="61" w:name="_Toc298923383"/>
      <w:bookmarkStart w:id="62" w:name="_Toc298936801"/>
      <w:bookmarkStart w:id="63" w:name="_Toc298937276"/>
      <w:bookmarkStart w:id="64" w:name="_Toc309997040"/>
      <w:bookmarkStart w:id="65" w:name="_Toc320020894"/>
      <w:bookmarkStart w:id="66" w:name="_Toc298937462"/>
      <w:bookmarkStart w:id="67" w:name="_Toc298937549"/>
      <w:bookmarkStart w:id="68" w:name="_Toc304828066"/>
      <w:bookmarkStart w:id="69" w:name="_Toc318613695"/>
      <w:bookmarkStart w:id="70" w:name="_Toc309993180"/>
      <w:bookmarkStart w:id="71" w:name="_Toc309994551"/>
      <w:bookmarkStart w:id="72" w:name="_Toc298936924"/>
      <w:bookmarkStart w:id="73" w:name="_Toc298938635"/>
      <w:bookmarkStart w:id="74" w:name="_Toc309995390"/>
      <w:bookmarkStart w:id="75" w:name="_Toc298937188"/>
      <w:bookmarkStart w:id="76" w:name="_Toc11658"/>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39C2533" w14:textId="77777777" w:rsidR="0051782D" w:rsidRDefault="00000000">
      <w:pPr>
        <w:pStyle w:val="aff6"/>
      </w:pPr>
      <w:r>
        <w:rPr>
          <w:rFonts w:hint="eastAsia"/>
        </w:rPr>
        <w:t>本标准规定了光储充检一体化充电站接入配电网的基本原则和技术要求。</w:t>
      </w:r>
    </w:p>
    <w:p w14:paraId="584BE746" w14:textId="77777777" w:rsidR="0051782D" w:rsidRDefault="00000000">
      <w:pPr>
        <w:pStyle w:val="aff6"/>
      </w:pPr>
      <w:r>
        <w:rPr>
          <w:rFonts w:hint="eastAsia"/>
        </w:rPr>
        <w:t>本标准适用于接入10kV及以下电压等级的光储充检一体化充电站，光储充（换）、光储充放、储充（换）等其他类型充电站可参照执行。</w:t>
      </w:r>
    </w:p>
    <w:p w14:paraId="72F448C9" w14:textId="77777777" w:rsidR="0051782D" w:rsidRDefault="00000000">
      <w:pPr>
        <w:pStyle w:val="a1"/>
        <w:ind w:left="0"/>
        <w:outlineLvl w:val="0"/>
      </w:pPr>
      <w:bookmarkStart w:id="77" w:name="_Toc304828067"/>
      <w:bookmarkStart w:id="78" w:name="_Toc298937101"/>
      <w:bookmarkStart w:id="79" w:name="_Toc298937323"/>
      <w:bookmarkStart w:id="80" w:name="_Toc309993181"/>
      <w:bookmarkStart w:id="81" w:name="_Toc298936925"/>
      <w:bookmarkStart w:id="82" w:name="_Toc304402665"/>
      <w:bookmarkStart w:id="83" w:name="_Toc298937202"/>
      <w:bookmarkStart w:id="84" w:name="_Toc309995579"/>
      <w:bookmarkStart w:id="85" w:name="_Toc298938636"/>
      <w:bookmarkStart w:id="86" w:name="_Toc298937277"/>
      <w:bookmarkStart w:id="87" w:name="_Toc309997041"/>
      <w:bookmarkStart w:id="88" w:name="_Toc298937168"/>
      <w:bookmarkStart w:id="89" w:name="_Toc318613696"/>
      <w:bookmarkStart w:id="90" w:name="_Toc298936802"/>
      <w:bookmarkStart w:id="91" w:name="_Toc310002638"/>
      <w:bookmarkStart w:id="92" w:name="_Toc304825082"/>
      <w:bookmarkStart w:id="93" w:name="_Toc298937358"/>
      <w:bookmarkStart w:id="94" w:name="_Toc304825009"/>
      <w:bookmarkStart w:id="95" w:name="_Toc309996000"/>
      <w:bookmarkStart w:id="96" w:name="_Toc304824970"/>
      <w:bookmarkStart w:id="97" w:name="_Toc298937153"/>
      <w:bookmarkStart w:id="98" w:name="_Toc298923384"/>
      <w:bookmarkStart w:id="99" w:name="_Toc309995473"/>
      <w:bookmarkStart w:id="100" w:name="_Toc309994552"/>
      <w:bookmarkStart w:id="101" w:name="_Toc298937610"/>
      <w:bookmarkStart w:id="102" w:name="_Toc298938784"/>
      <w:bookmarkStart w:id="103" w:name="_Toc320020895"/>
      <w:bookmarkStart w:id="104" w:name="_Toc21001"/>
      <w:bookmarkStart w:id="105" w:name="_Toc298937550"/>
      <w:bookmarkStart w:id="106" w:name="_Toc9438"/>
      <w:bookmarkStart w:id="107" w:name="_Toc298937463"/>
      <w:bookmarkStart w:id="108" w:name="_Toc24337"/>
      <w:bookmarkStart w:id="109" w:name="_Toc298937420"/>
      <w:bookmarkStart w:id="110" w:name="_Toc19146"/>
      <w:bookmarkStart w:id="111" w:name="_Toc4735"/>
      <w:bookmarkStart w:id="112" w:name="_Toc32691"/>
      <w:bookmarkStart w:id="113" w:name="_Toc298937189"/>
      <w:bookmarkStart w:id="114" w:name="_Toc309995391"/>
      <w:r>
        <w:rPr>
          <w:rFonts w:hint="eastAsia"/>
        </w:rPr>
        <w:t>规范性引用文件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099377D" w14:textId="77777777" w:rsidR="0051782D" w:rsidRDefault="00000000">
      <w:pPr>
        <w:pStyle w:val="aff6"/>
      </w:pPr>
      <w:r>
        <w:rPr>
          <w:rFonts w:hint="eastAsia"/>
        </w:rPr>
        <w:t>下列文件对于本文件的应用是必不可少的。凡是注日期的引用文件，仅注日期的版本适用于本文件。凡是不注日期的引用文件，其最新版本（包括所有的修改单）适用于本文件。</w:t>
      </w:r>
    </w:p>
    <w:p w14:paraId="30F2829D" w14:textId="77777777" w:rsidR="0051782D" w:rsidRDefault="00000000">
      <w:pPr>
        <w:pStyle w:val="aff6"/>
      </w:pPr>
      <w:r>
        <w:rPr>
          <w:rFonts w:hint="eastAsia"/>
        </w:rPr>
        <w:t>GB/T 156 标准电压</w:t>
      </w:r>
    </w:p>
    <w:p w14:paraId="62899075" w14:textId="77777777" w:rsidR="0051782D" w:rsidRDefault="00000000">
      <w:pPr>
        <w:pStyle w:val="aff6"/>
      </w:pPr>
      <w:r>
        <w:rPr>
          <w:rFonts w:hint="eastAsia"/>
        </w:rPr>
        <w:t>GB/T 12325 电能质量 供电电压偏差</w:t>
      </w:r>
    </w:p>
    <w:p w14:paraId="5277C706" w14:textId="77777777" w:rsidR="0051782D" w:rsidRDefault="00000000">
      <w:pPr>
        <w:pStyle w:val="aff6"/>
      </w:pPr>
      <w:r>
        <w:rPr>
          <w:rFonts w:hint="eastAsia"/>
        </w:rPr>
        <w:t>GB/T 12326 电能质量 电压波动和闪变</w:t>
      </w:r>
    </w:p>
    <w:p w14:paraId="581B07F2" w14:textId="77777777" w:rsidR="0051782D" w:rsidRDefault="00000000">
      <w:pPr>
        <w:pStyle w:val="aff6"/>
      </w:pPr>
      <w:r>
        <w:rPr>
          <w:rFonts w:hint="eastAsia"/>
        </w:rPr>
        <w:t>GB/T 14285 继电保护和安全自动装置技术规程</w:t>
      </w:r>
    </w:p>
    <w:p w14:paraId="200CB5CB" w14:textId="77777777" w:rsidR="0051782D" w:rsidRDefault="00000000">
      <w:pPr>
        <w:pStyle w:val="aff6"/>
      </w:pPr>
      <w:r>
        <w:rPr>
          <w:rFonts w:hint="eastAsia"/>
        </w:rPr>
        <w:t>GB/T 14549 电能质量 公用电网谐波</w:t>
      </w:r>
    </w:p>
    <w:p w14:paraId="22A6EF49" w14:textId="77777777" w:rsidR="0051782D" w:rsidRDefault="00000000">
      <w:pPr>
        <w:pStyle w:val="aff6"/>
      </w:pPr>
      <w:r>
        <w:rPr>
          <w:rFonts w:hint="eastAsia"/>
        </w:rPr>
        <w:t>GB/T 15543 电能质量 三相电压不平衡</w:t>
      </w:r>
    </w:p>
    <w:p w14:paraId="79368262" w14:textId="77777777" w:rsidR="0051782D" w:rsidRDefault="00000000">
      <w:pPr>
        <w:pStyle w:val="aff6"/>
      </w:pPr>
      <w:r>
        <w:rPr>
          <w:rFonts w:hint="eastAsia"/>
        </w:rPr>
        <w:t>GB/T 19862 电能质量 电能质量监测设备通用要求</w:t>
      </w:r>
    </w:p>
    <w:p w14:paraId="3B34D2A7" w14:textId="77777777" w:rsidR="0051782D" w:rsidRDefault="00000000">
      <w:pPr>
        <w:pStyle w:val="aff6"/>
      </w:pPr>
      <w:r>
        <w:rPr>
          <w:rFonts w:hint="eastAsia"/>
        </w:rPr>
        <w:t>GB/T 15945 电能质量 电力系统频率偏差</w:t>
      </w:r>
    </w:p>
    <w:p w14:paraId="74821D9E" w14:textId="77777777" w:rsidR="0051782D" w:rsidRDefault="00000000">
      <w:pPr>
        <w:pStyle w:val="aff6"/>
      </w:pPr>
      <w:r>
        <w:rPr>
          <w:rFonts w:hint="eastAsia"/>
        </w:rPr>
        <w:t>GB/T 17626.30 电磁兼容 试验和测量技术 电能质量测量方法</w:t>
      </w:r>
    </w:p>
    <w:p w14:paraId="3EB72525" w14:textId="77777777" w:rsidR="0051782D" w:rsidRDefault="00000000">
      <w:pPr>
        <w:pStyle w:val="aff6"/>
      </w:pPr>
      <w:r>
        <w:rPr>
          <w:rFonts w:hint="eastAsia"/>
        </w:rPr>
        <w:t>GB/T 22239 信息安全技术信息系统安全等级保护基本要求</w:t>
      </w:r>
    </w:p>
    <w:p w14:paraId="1318C1E7" w14:textId="77777777" w:rsidR="0051782D" w:rsidRDefault="00000000">
      <w:pPr>
        <w:pStyle w:val="aff6"/>
      </w:pPr>
      <w:r>
        <w:rPr>
          <w:rFonts w:hint="eastAsia"/>
        </w:rPr>
        <w:t>GB/T 29316 电动汽车充换电设施电能质量技术要求</w:t>
      </w:r>
    </w:p>
    <w:p w14:paraId="37D37D01" w14:textId="77777777" w:rsidR="0051782D" w:rsidRDefault="00000000">
      <w:pPr>
        <w:pStyle w:val="aff6"/>
      </w:pPr>
      <w:r>
        <w:rPr>
          <w:rFonts w:hint="eastAsia"/>
        </w:rPr>
        <w:t>GB/T 29781 电动汽车充电站通用要求</w:t>
      </w:r>
    </w:p>
    <w:p w14:paraId="476F7125" w14:textId="77777777" w:rsidR="0051782D" w:rsidRDefault="00000000">
      <w:pPr>
        <w:pStyle w:val="aff6"/>
      </w:pPr>
      <w:r>
        <w:rPr>
          <w:rFonts w:hint="eastAsia"/>
        </w:rPr>
        <w:t>GB/T 29317 电动汽车充换点设施术语</w:t>
      </w:r>
    </w:p>
    <w:p w14:paraId="195473DB" w14:textId="77777777" w:rsidR="0051782D" w:rsidRDefault="00000000">
      <w:pPr>
        <w:pStyle w:val="aff6"/>
      </w:pPr>
      <w:r>
        <w:rPr>
          <w:rFonts w:hint="eastAsia"/>
        </w:rPr>
        <w:t>GB/T 29319 光伏发电系统接入配电网技术规定</w:t>
      </w:r>
    </w:p>
    <w:p w14:paraId="57ED631C" w14:textId="77777777" w:rsidR="0051782D" w:rsidRDefault="00000000">
      <w:pPr>
        <w:pStyle w:val="aff6"/>
      </w:pPr>
      <w:r>
        <w:rPr>
          <w:rFonts w:hint="eastAsia"/>
        </w:rPr>
        <w:t>GB/T 31464 电网运行准则</w:t>
      </w:r>
    </w:p>
    <w:p w14:paraId="49001F1C" w14:textId="77777777" w:rsidR="0051782D" w:rsidRDefault="00000000">
      <w:pPr>
        <w:pStyle w:val="aff6"/>
      </w:pPr>
      <w:r>
        <w:rPr>
          <w:rFonts w:hint="eastAsia"/>
        </w:rPr>
        <w:lastRenderedPageBreak/>
        <w:t xml:space="preserve">GB/T 36278 电动汽车充换电设施接入配电网技术规范 </w:t>
      </w:r>
    </w:p>
    <w:p w14:paraId="24B64B44" w14:textId="77777777" w:rsidR="0051782D" w:rsidRDefault="00000000">
      <w:pPr>
        <w:pStyle w:val="aff6"/>
      </w:pPr>
      <w:r>
        <w:rPr>
          <w:rFonts w:hint="eastAsia"/>
        </w:rPr>
        <w:t>GB/T 36547 电化学储能系统接入配电网技术规定</w:t>
      </w:r>
    </w:p>
    <w:p w14:paraId="00723E3B" w14:textId="77777777" w:rsidR="0051782D" w:rsidRDefault="00000000">
      <w:pPr>
        <w:pStyle w:val="aff6"/>
      </w:pPr>
      <w:r>
        <w:rPr>
          <w:rFonts w:hint="eastAsia"/>
        </w:rPr>
        <w:t>GB/T 36548 电化学储能系统接入配电网测试规范</w:t>
      </w:r>
    </w:p>
    <w:p w14:paraId="39CA1EB2" w14:textId="77777777" w:rsidR="0051782D" w:rsidRDefault="00000000">
      <w:pPr>
        <w:pStyle w:val="aff6"/>
      </w:pPr>
      <w:r>
        <w:rPr>
          <w:rFonts w:hint="eastAsia"/>
        </w:rPr>
        <w:t>GB/T 37295 城市公共设施 电动汽车充换电设施安全技术防范系统要求</w:t>
      </w:r>
    </w:p>
    <w:p w14:paraId="1A087486" w14:textId="77777777" w:rsidR="0051782D" w:rsidRDefault="00000000">
      <w:pPr>
        <w:pStyle w:val="aff6"/>
      </w:pPr>
      <w:r>
        <w:rPr>
          <w:rFonts w:hint="eastAsia"/>
        </w:rPr>
        <w:t>GB/T 38953 微电网继电保护技术规定</w:t>
      </w:r>
    </w:p>
    <w:p w14:paraId="516B0029" w14:textId="77777777" w:rsidR="0051782D" w:rsidRDefault="00000000">
      <w:pPr>
        <w:pStyle w:val="aff6"/>
      </w:pPr>
      <w:r>
        <w:rPr>
          <w:rFonts w:hint="eastAsia"/>
        </w:rPr>
        <w:t>GB/T 43526 用户侧电化学储能系统接入配电网技术规定</w:t>
      </w:r>
    </w:p>
    <w:p w14:paraId="10F209AD" w14:textId="77777777" w:rsidR="0051782D" w:rsidRDefault="00000000">
      <w:pPr>
        <w:pStyle w:val="aff6"/>
      </w:pPr>
      <w:r>
        <w:rPr>
          <w:rFonts w:hint="eastAsia"/>
        </w:rPr>
        <w:t>GB/T 44130.3 电动汽车充换电服务信息交换 第3部分：业务信息交换规范</w:t>
      </w:r>
    </w:p>
    <w:p w14:paraId="3069F117" w14:textId="77777777" w:rsidR="0051782D" w:rsidRDefault="00000000">
      <w:pPr>
        <w:pStyle w:val="aff6"/>
      </w:pPr>
      <w:r>
        <w:rPr>
          <w:rFonts w:hint="eastAsia"/>
        </w:rPr>
        <w:t>GB/T 44638 能源互联网与电动汽车互动规范</w:t>
      </w:r>
    </w:p>
    <w:p w14:paraId="6B52BE85" w14:textId="77777777" w:rsidR="0051782D" w:rsidRDefault="00000000">
      <w:pPr>
        <w:pStyle w:val="aff6"/>
      </w:pPr>
      <w:r>
        <w:rPr>
          <w:rFonts w:hint="eastAsia"/>
        </w:rPr>
        <w:t>GB/T 46148 电动汽车智能充放电设备技术规范</w:t>
      </w:r>
    </w:p>
    <w:p w14:paraId="6063D2E0" w14:textId="77777777" w:rsidR="0051782D" w:rsidRDefault="00000000">
      <w:pPr>
        <w:pStyle w:val="aff6"/>
      </w:pPr>
      <w:r>
        <w:rPr>
          <w:rFonts w:hint="eastAsia"/>
        </w:rPr>
        <w:t>GB 50054 低压配电设计规范</w:t>
      </w:r>
    </w:p>
    <w:p w14:paraId="709DBE34" w14:textId="77777777" w:rsidR="0051782D" w:rsidRDefault="00000000">
      <w:pPr>
        <w:pStyle w:val="aff6"/>
      </w:pPr>
      <w:r>
        <w:rPr>
          <w:rFonts w:hint="eastAsia"/>
        </w:rPr>
        <w:t>DL/T 448 电能计量装置技术管理规程</w:t>
      </w:r>
    </w:p>
    <w:p w14:paraId="6E96C121" w14:textId="77777777" w:rsidR="0051782D" w:rsidRDefault="00000000">
      <w:pPr>
        <w:pStyle w:val="aff6"/>
      </w:pPr>
      <w:r>
        <w:rPr>
          <w:rFonts w:hint="eastAsia"/>
        </w:rPr>
        <w:t>DL/T 584 3kV~110kV电网继电保护装置运行整定规程</w:t>
      </w:r>
    </w:p>
    <w:p w14:paraId="287C1317" w14:textId="77777777" w:rsidR="0051782D" w:rsidRDefault="00000000">
      <w:pPr>
        <w:pStyle w:val="aff6"/>
      </w:pPr>
      <w:r>
        <w:rPr>
          <w:rFonts w:hint="eastAsia"/>
        </w:rPr>
        <w:t>DL/T 599 中低压配电网改造技术导则</w:t>
      </w:r>
    </w:p>
    <w:p w14:paraId="3AF515D3" w14:textId="77777777" w:rsidR="0051782D" w:rsidRDefault="00000000">
      <w:pPr>
        <w:pStyle w:val="aff6"/>
      </w:pPr>
      <w:r>
        <w:rPr>
          <w:rFonts w:hint="eastAsia"/>
        </w:rPr>
        <w:t>DL/T 614 多功能电能表</w:t>
      </w:r>
    </w:p>
    <w:p w14:paraId="67530988" w14:textId="77777777" w:rsidR="0051782D" w:rsidRDefault="00000000">
      <w:pPr>
        <w:pStyle w:val="aff6"/>
      </w:pPr>
      <w:r>
        <w:rPr>
          <w:rFonts w:hint="eastAsia"/>
        </w:rPr>
        <w:t>DL/T 645</w:t>
      </w:r>
      <w:r>
        <w:rPr>
          <w:rFonts w:hint="eastAsia"/>
          <w:color w:val="F73131"/>
          <w:shd w:val="clear" w:color="auto" w:fill="FFFFFF"/>
        </w:rPr>
        <w:t xml:space="preserve"> </w:t>
      </w:r>
      <w:r>
        <w:rPr>
          <w:rFonts w:hint="eastAsia"/>
        </w:rPr>
        <w:t>多功能电能表通信规约</w:t>
      </w:r>
    </w:p>
    <w:p w14:paraId="77A183FD" w14:textId="77777777" w:rsidR="0051782D" w:rsidRDefault="00000000">
      <w:pPr>
        <w:pStyle w:val="aff6"/>
      </w:pPr>
      <w:r>
        <w:rPr>
          <w:rFonts w:hint="eastAsia"/>
        </w:rPr>
        <w:t>DL/T 5202 电能量计量系统设计技术规范</w:t>
      </w:r>
    </w:p>
    <w:p w14:paraId="0A517C19" w14:textId="77777777" w:rsidR="0051782D" w:rsidRDefault="00000000">
      <w:pPr>
        <w:pStyle w:val="aff6"/>
      </w:pPr>
      <w:r>
        <w:rPr>
          <w:rFonts w:hint="eastAsia"/>
        </w:rPr>
        <w:t>DL/T 5729 配电网规划设计技术导则</w:t>
      </w:r>
    </w:p>
    <w:p w14:paraId="73126FDE" w14:textId="77777777" w:rsidR="0051782D" w:rsidRDefault="00000000">
      <w:pPr>
        <w:pStyle w:val="aff6"/>
      </w:pPr>
      <w:r>
        <w:rPr>
          <w:rFonts w:hint="eastAsia"/>
        </w:rPr>
        <w:t>DL/T 2473.1 可调节负荷并网运行与控制技术规范 第1部分：资源接入</w:t>
      </w:r>
    </w:p>
    <w:p w14:paraId="255A9EF9" w14:textId="77777777" w:rsidR="0051782D" w:rsidRDefault="00000000">
      <w:pPr>
        <w:pStyle w:val="aff6"/>
      </w:pPr>
      <w:r>
        <w:rPr>
          <w:rFonts w:hint="eastAsia"/>
        </w:rPr>
        <w:t>Q/GDW 212 电力系统无功补偿配置技术原则</w:t>
      </w:r>
    </w:p>
    <w:p w14:paraId="20916BBC" w14:textId="77777777" w:rsidR="0051782D" w:rsidRDefault="00000000">
      <w:pPr>
        <w:pStyle w:val="aff6"/>
      </w:pPr>
      <w:r>
        <w:rPr>
          <w:rFonts w:hint="eastAsia"/>
        </w:rPr>
        <w:t>Q/GDW 1354 智能电能表功能规范</w:t>
      </w:r>
    </w:p>
    <w:p w14:paraId="05DEC465" w14:textId="77777777" w:rsidR="0051782D" w:rsidRDefault="00000000">
      <w:pPr>
        <w:pStyle w:val="aff6"/>
      </w:pPr>
      <w:r>
        <w:rPr>
          <w:rFonts w:hint="eastAsia"/>
        </w:rPr>
        <w:t>Q/GDW 1364 单相智能电能表技术规范</w:t>
      </w:r>
    </w:p>
    <w:p w14:paraId="4E2119E7" w14:textId="77777777" w:rsidR="0051782D" w:rsidRDefault="00000000">
      <w:pPr>
        <w:pStyle w:val="aff6"/>
      </w:pPr>
      <w:r>
        <w:rPr>
          <w:rFonts w:hint="eastAsia"/>
        </w:rPr>
        <w:t>Q/GDW 1374 电力用户用电信息采集系统技术规范</w:t>
      </w:r>
    </w:p>
    <w:p w14:paraId="66EB8A22" w14:textId="77777777" w:rsidR="0051782D" w:rsidRDefault="00000000">
      <w:pPr>
        <w:pStyle w:val="aff6"/>
      </w:pPr>
      <w:r>
        <w:rPr>
          <w:rFonts w:hint="eastAsia"/>
        </w:rPr>
        <w:t>Q/GDW 1553.1 电力以太网无源光网络EPON系统 第1部分：技术条件</w:t>
      </w:r>
    </w:p>
    <w:p w14:paraId="751F24AC" w14:textId="77777777" w:rsidR="0051782D" w:rsidRDefault="00000000">
      <w:pPr>
        <w:pStyle w:val="aff6"/>
      </w:pPr>
      <w:r>
        <w:rPr>
          <w:rFonts w:hint="eastAsia"/>
        </w:rPr>
        <w:t>Q/GDW 1827 三相智能电能表技术规范</w:t>
      </w:r>
    </w:p>
    <w:p w14:paraId="46CED105" w14:textId="77777777" w:rsidR="0051782D" w:rsidRDefault="00000000">
      <w:pPr>
        <w:pStyle w:val="aff6"/>
      </w:pPr>
      <w:r>
        <w:rPr>
          <w:rFonts w:hint="eastAsia"/>
        </w:rPr>
        <w:t>Q/GDW 10236 电动汽车充电站通用技术要求</w:t>
      </w:r>
    </w:p>
    <w:p w14:paraId="07359472" w14:textId="77777777" w:rsidR="0051782D" w:rsidRDefault="00000000">
      <w:pPr>
        <w:pStyle w:val="aff6"/>
      </w:pPr>
      <w:r>
        <w:rPr>
          <w:rFonts w:hint="eastAsia"/>
        </w:rPr>
        <w:lastRenderedPageBreak/>
        <w:t>Q/GDW 11184 配电自动化规划设计技术导则</w:t>
      </w:r>
    </w:p>
    <w:p w14:paraId="2D8C94E9" w14:textId="77777777" w:rsidR="0051782D" w:rsidRDefault="00000000">
      <w:pPr>
        <w:pStyle w:val="aff6"/>
      </w:pPr>
      <w:r>
        <w:rPr>
          <w:rFonts w:hint="eastAsia"/>
        </w:rPr>
        <w:t>Q/GDW 11345.5 电力通信网信息安全第5部分：终端通信接入网</w:t>
      </w:r>
    </w:p>
    <w:p w14:paraId="05396AAA" w14:textId="77777777" w:rsidR="0051782D" w:rsidRDefault="00000000">
      <w:pPr>
        <w:pStyle w:val="aff6"/>
      </w:pPr>
      <w:r>
        <w:rPr>
          <w:rFonts w:hint="eastAsia"/>
        </w:rPr>
        <w:t>Q/GDW 11726 电动汽车充换电设施接入配电网评价导则</w:t>
      </w:r>
    </w:p>
    <w:p w14:paraId="06BDC232" w14:textId="77777777" w:rsidR="0051782D" w:rsidRDefault="00000000">
      <w:pPr>
        <w:pStyle w:val="aff6"/>
      </w:pPr>
      <w:r>
        <w:rPr>
          <w:rFonts w:hint="eastAsia"/>
        </w:rPr>
        <w:t>Q/GDW 11856 电动汽车充换电设施接入配电网设计规范</w:t>
      </w:r>
    </w:p>
    <w:p w14:paraId="38CFA1C0" w14:textId="77777777" w:rsidR="0051782D" w:rsidRDefault="00000000">
      <w:pPr>
        <w:pStyle w:val="a1"/>
        <w:ind w:left="0"/>
        <w:outlineLvl w:val="0"/>
      </w:pPr>
      <w:bookmarkStart w:id="115" w:name="_Toc309995580"/>
      <w:bookmarkStart w:id="116" w:name="_Toc320020896"/>
      <w:bookmarkStart w:id="117" w:name="_Toc298936803"/>
      <w:bookmarkStart w:id="118" w:name="_Toc304825010"/>
      <w:bookmarkStart w:id="119" w:name="_Toc309994553"/>
      <w:bookmarkStart w:id="120" w:name="_Toc318613697"/>
      <w:bookmarkStart w:id="121" w:name="_Toc298937278"/>
      <w:bookmarkStart w:id="122" w:name="_Toc298938637"/>
      <w:bookmarkStart w:id="123" w:name="_Toc16652"/>
      <w:bookmarkStart w:id="124" w:name="_Toc298937611"/>
      <w:bookmarkStart w:id="125" w:name="_Toc309995474"/>
      <w:bookmarkStart w:id="126" w:name="_Toc298937464"/>
      <w:bookmarkStart w:id="127" w:name="_Toc298937421"/>
      <w:bookmarkStart w:id="128" w:name="_Toc298937324"/>
      <w:bookmarkStart w:id="129" w:name="_Toc309997042"/>
      <w:bookmarkStart w:id="130" w:name="_Toc298937203"/>
      <w:bookmarkStart w:id="131" w:name="_Toc298937359"/>
      <w:bookmarkStart w:id="132" w:name="_Toc298937154"/>
      <w:bookmarkStart w:id="133" w:name="_Toc15769"/>
      <w:bookmarkStart w:id="134" w:name="_Toc298937102"/>
      <w:bookmarkStart w:id="135" w:name="_Toc304824971"/>
      <w:bookmarkStart w:id="136" w:name="_Toc19176"/>
      <w:bookmarkStart w:id="137" w:name="_Toc298937551"/>
      <w:bookmarkStart w:id="138" w:name="_Toc298936926"/>
      <w:bookmarkStart w:id="139" w:name="_Toc304825083"/>
      <w:bookmarkStart w:id="140" w:name="_Toc304402666"/>
      <w:bookmarkStart w:id="141" w:name="_Toc26214"/>
      <w:bookmarkStart w:id="142" w:name="_Toc310002639"/>
      <w:bookmarkStart w:id="143" w:name="_Toc309996001"/>
      <w:bookmarkStart w:id="144" w:name="_Toc298937169"/>
      <w:bookmarkStart w:id="145" w:name="_Toc304828068"/>
      <w:bookmarkStart w:id="146" w:name="_Toc309993182"/>
      <w:bookmarkStart w:id="147" w:name="_Toc31400"/>
      <w:bookmarkStart w:id="148" w:name="_Toc298937190"/>
      <w:bookmarkStart w:id="149" w:name="_Toc298938785"/>
      <w:bookmarkStart w:id="150" w:name="_Toc309995392"/>
      <w:bookmarkStart w:id="151" w:name="_Toc199"/>
      <w:r>
        <w:rPr>
          <w:rFonts w:hint="eastAsia"/>
        </w:rPr>
        <w:t>术语和定义</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07D1553" w14:textId="77777777" w:rsidR="0051782D" w:rsidRDefault="00000000">
      <w:pPr>
        <w:pStyle w:val="aff6"/>
      </w:pPr>
      <w:r>
        <w:rPr>
          <w:rFonts w:hint="eastAsia"/>
        </w:rPr>
        <w:t>下列术语和定义适用于本文件。</w:t>
      </w:r>
    </w:p>
    <w:p w14:paraId="29A7CB13" w14:textId="77777777" w:rsidR="0051782D" w:rsidRDefault="00000000">
      <w:pPr>
        <w:pStyle w:val="afff9"/>
        <w:ind w:left="0"/>
        <w:rPr>
          <w:rFonts w:ascii="黑体" w:eastAsia="黑体"/>
        </w:rPr>
      </w:pPr>
      <w:bookmarkStart w:id="152" w:name="_Toc16912"/>
      <w:bookmarkStart w:id="153" w:name="_Toc8493"/>
      <w:r>
        <w:br/>
      </w:r>
      <w:r>
        <w:rPr>
          <w:rFonts w:ascii="黑体" w:eastAsia="黑体" w:hint="eastAsia"/>
        </w:rPr>
        <w:t xml:space="preserve">    光储充检一体化充电站 PV-Storage-Charging-Detection integrated electric vehicle charging station</w:t>
      </w:r>
      <w:bookmarkEnd w:id="152"/>
      <w:bookmarkEnd w:id="153"/>
    </w:p>
    <w:p w14:paraId="25265B0A" w14:textId="77777777" w:rsidR="0051782D" w:rsidRDefault="00000000">
      <w:pPr>
        <w:pStyle w:val="aff6"/>
      </w:pPr>
      <w:r>
        <w:rPr>
          <w:rFonts w:hint="eastAsia"/>
        </w:rPr>
        <w:t>将光伏发电系统、储能电池系统、电动汽车充（换）电系统、动力电池在线检测系统等集成为一体的综合充电设施及其配套设施。</w:t>
      </w:r>
    </w:p>
    <w:p w14:paraId="4B7F5EE1" w14:textId="77777777" w:rsidR="0051782D" w:rsidRDefault="00000000">
      <w:pPr>
        <w:pStyle w:val="afff9"/>
        <w:ind w:left="0"/>
        <w:rPr>
          <w:rFonts w:ascii="黑体" w:eastAsia="黑体"/>
        </w:rPr>
      </w:pPr>
      <w:bookmarkStart w:id="154" w:name="_Toc29155"/>
      <w:bookmarkStart w:id="155" w:name="_Toc23868"/>
      <w:bookmarkStart w:id="156" w:name="_Toc309995393"/>
      <w:bookmarkStart w:id="157" w:name="_Toc298937552"/>
      <w:bookmarkStart w:id="158" w:name="_Toc298936804"/>
      <w:bookmarkStart w:id="159" w:name="_Toc304402667"/>
      <w:bookmarkStart w:id="160" w:name="_Toc304825011"/>
      <w:bookmarkStart w:id="161" w:name="_Toc298937155"/>
      <w:bookmarkStart w:id="162" w:name="_Toc298937325"/>
      <w:bookmarkStart w:id="163" w:name="_Toc309995475"/>
      <w:bookmarkStart w:id="164" w:name="_Toc298937204"/>
      <w:bookmarkStart w:id="165" w:name="_Toc298937103"/>
      <w:bookmarkStart w:id="166" w:name="_Toc309997043"/>
      <w:bookmarkStart w:id="167" w:name="_Toc298937170"/>
      <w:bookmarkStart w:id="168" w:name="_Toc310002640"/>
      <w:bookmarkStart w:id="169" w:name="_Toc298938638"/>
      <w:bookmarkStart w:id="170" w:name="_Toc309996002"/>
      <w:bookmarkStart w:id="171" w:name="_Toc298937360"/>
      <w:bookmarkStart w:id="172" w:name="_Toc304825084"/>
      <w:bookmarkStart w:id="173" w:name="_Toc298937422"/>
      <w:bookmarkStart w:id="174" w:name="_Toc298937612"/>
      <w:bookmarkStart w:id="175" w:name="_Toc298936927"/>
      <w:bookmarkStart w:id="176" w:name="_Toc309994554"/>
      <w:bookmarkStart w:id="177" w:name="_Toc298937279"/>
      <w:bookmarkStart w:id="178" w:name="_Toc304828069"/>
      <w:bookmarkStart w:id="179" w:name="_Toc309995581"/>
      <w:bookmarkStart w:id="180" w:name="_Toc298938786"/>
      <w:bookmarkStart w:id="181" w:name="_Toc298937465"/>
      <w:bookmarkStart w:id="182" w:name="_Toc304824972"/>
      <w:bookmarkStart w:id="183" w:name="_Toc318613698"/>
      <w:bookmarkStart w:id="184" w:name="_Toc309993183"/>
      <w:bookmarkStart w:id="185" w:name="_Toc320020897"/>
      <w:bookmarkStart w:id="186" w:name="_Toc298937191"/>
      <w:r>
        <w:br/>
      </w:r>
      <w:r>
        <w:rPr>
          <w:rFonts w:ascii="黑体" w:eastAsia="黑体" w:hint="eastAsia"/>
        </w:rPr>
        <w:t xml:space="preserve">    光伏发电系统 photovoltaic generation system</w:t>
      </w:r>
      <w:bookmarkEnd w:id="154"/>
      <w:bookmarkEnd w:id="155"/>
    </w:p>
    <w:p w14:paraId="7067CC2E" w14:textId="77777777" w:rsidR="0051782D" w:rsidRDefault="00000000">
      <w:pPr>
        <w:pStyle w:val="aff6"/>
      </w:pPr>
      <w:r>
        <w:rPr>
          <w:rFonts w:hint="eastAsia"/>
        </w:rPr>
        <w:t>利用光伏电池的光生伏特效应，将太阳辐射能直接转换成电能，并且建设在停车位上部或同一产权红线范围内的发电系统。</w:t>
      </w:r>
    </w:p>
    <w:p w14:paraId="5910F6DF" w14:textId="77777777" w:rsidR="0051782D" w:rsidRDefault="00000000">
      <w:pPr>
        <w:pStyle w:val="afff9"/>
        <w:ind w:left="0"/>
        <w:rPr>
          <w:rFonts w:ascii="黑体" w:eastAsia="黑体"/>
        </w:rPr>
      </w:pPr>
      <w:bookmarkStart w:id="187" w:name="_Toc16160"/>
      <w:bookmarkStart w:id="188" w:name="_Toc14273"/>
      <w:r>
        <w:br/>
      </w:r>
      <w:r>
        <w:rPr>
          <w:rFonts w:ascii="黑体" w:eastAsia="黑体" w:hint="eastAsia"/>
        </w:rPr>
        <w:t xml:space="preserve">    储能电池系统 energy storage battery system</w:t>
      </w:r>
      <w:bookmarkEnd w:id="187"/>
      <w:bookmarkEnd w:id="188"/>
    </w:p>
    <w:p w14:paraId="7ADBB415" w14:textId="77777777" w:rsidR="0051782D" w:rsidRDefault="00000000">
      <w:pPr>
        <w:pStyle w:val="aff6"/>
      </w:pPr>
      <w:r>
        <w:rPr>
          <w:rFonts w:hint="eastAsia"/>
        </w:rPr>
        <w:t>以电化学电池等为储能载体，通过储能变流器进行可循环电能存储、释放的系统。</w:t>
      </w:r>
    </w:p>
    <w:p w14:paraId="5998791F" w14:textId="77777777" w:rsidR="0051782D" w:rsidRDefault="00000000">
      <w:pPr>
        <w:pStyle w:val="aff6"/>
      </w:pPr>
      <w:r>
        <w:rPr>
          <w:rFonts w:hint="eastAsia"/>
        </w:rPr>
        <w:t>注：一般包含电池系统、储能变流器及相关辅助设施等。</w:t>
      </w:r>
    </w:p>
    <w:p w14:paraId="496B7EE4" w14:textId="77777777" w:rsidR="0051782D" w:rsidRDefault="00000000">
      <w:pPr>
        <w:pStyle w:val="afff9"/>
        <w:ind w:left="0"/>
        <w:rPr>
          <w:rFonts w:ascii="黑体" w:eastAsia="黑体"/>
        </w:rPr>
      </w:pPr>
      <w:bookmarkStart w:id="189" w:name="_Toc11132"/>
      <w:bookmarkStart w:id="190" w:name="_Toc25477"/>
      <w:r>
        <w:br/>
      </w:r>
      <w:r>
        <w:rPr>
          <w:rFonts w:ascii="黑体" w:eastAsia="黑体" w:hint="eastAsia"/>
        </w:rPr>
        <w:t xml:space="preserve">    电动汽车充（换）电系统 new energy vehicle charging system</w:t>
      </w:r>
      <w:bookmarkEnd w:id="189"/>
      <w:bookmarkEnd w:id="190"/>
    </w:p>
    <w:p w14:paraId="3BEFC87F" w14:textId="77777777" w:rsidR="0051782D" w:rsidRDefault="00000000">
      <w:pPr>
        <w:pStyle w:val="aff6"/>
      </w:pPr>
      <w:r>
        <w:rPr>
          <w:rFonts w:hint="eastAsia"/>
        </w:rPr>
        <w:t>采用整车充电方式，为电动汽车提供电能的相关充（换）电设施、辅助设备等组成的系统。</w:t>
      </w:r>
    </w:p>
    <w:p w14:paraId="78EB778A" w14:textId="77777777" w:rsidR="0051782D" w:rsidRDefault="00000000">
      <w:pPr>
        <w:pStyle w:val="afff9"/>
        <w:ind w:left="0"/>
        <w:rPr>
          <w:rFonts w:ascii="黑体" w:eastAsia="黑体"/>
        </w:rPr>
      </w:pPr>
      <w:bookmarkStart w:id="191" w:name="_Toc29598"/>
      <w:bookmarkStart w:id="192" w:name="_Toc12267"/>
      <w:r>
        <w:br/>
      </w:r>
      <w:r>
        <w:rPr>
          <w:rFonts w:ascii="黑体" w:eastAsia="黑体" w:hint="eastAsia"/>
        </w:rPr>
        <w:t xml:space="preserve">    动力电池在线检测系统 online detection system for power batteries</w:t>
      </w:r>
      <w:bookmarkEnd w:id="191"/>
      <w:bookmarkEnd w:id="192"/>
    </w:p>
    <w:p w14:paraId="7C55ED4E" w14:textId="77777777" w:rsidR="0051782D" w:rsidRDefault="00000000">
      <w:pPr>
        <w:pStyle w:val="aff6"/>
      </w:pPr>
      <w:r>
        <w:rPr>
          <w:rFonts w:hint="eastAsia"/>
        </w:rPr>
        <w:t>利用充电接口，对电动汽车的车载电池进行在线安全检测，用于电动汽车电池评估、预验风险等的系统。</w:t>
      </w:r>
    </w:p>
    <w:p w14:paraId="077DB310" w14:textId="77777777" w:rsidR="0051782D" w:rsidRDefault="0051782D">
      <w:pPr>
        <w:pStyle w:val="aff6"/>
      </w:pPr>
    </w:p>
    <w:p w14:paraId="7C4B2BAD" w14:textId="77777777" w:rsidR="0051782D" w:rsidRDefault="00000000">
      <w:pPr>
        <w:pStyle w:val="afff9"/>
        <w:ind w:left="0"/>
        <w:rPr>
          <w:rFonts w:ascii="黑体" w:eastAsia="黑体"/>
        </w:rPr>
      </w:pPr>
      <w:bookmarkStart w:id="193" w:name="_Toc5959"/>
      <w:bookmarkStart w:id="194" w:name="_Toc5779"/>
      <w:r>
        <w:br/>
      </w:r>
      <w:r>
        <w:rPr>
          <w:rFonts w:ascii="黑体" w:eastAsia="黑体" w:hint="eastAsia"/>
        </w:rPr>
        <w:t xml:space="preserve">    车网互动技术 vehicle-to-grid</w:t>
      </w:r>
      <w:bookmarkEnd w:id="193"/>
      <w:bookmarkEnd w:id="194"/>
    </w:p>
    <w:p w14:paraId="6AD774E5" w14:textId="77777777" w:rsidR="0051782D" w:rsidRDefault="00000000">
      <w:pPr>
        <w:pStyle w:val="aff6"/>
      </w:pPr>
      <w:r>
        <w:rPr>
          <w:rFonts w:hint="eastAsia"/>
        </w:rPr>
        <w:lastRenderedPageBreak/>
        <w:t>在满足电动汽车充电需求的前提下，通过充电设施与电网进行能量和信息互动，实现电动汽车充放电行为与电网电量需求的优化协同。</w:t>
      </w:r>
    </w:p>
    <w:p w14:paraId="66AC6881" w14:textId="77777777" w:rsidR="0051782D" w:rsidRDefault="0051782D">
      <w:pPr>
        <w:pStyle w:val="aff6"/>
      </w:pPr>
    </w:p>
    <w:p w14:paraId="7F320BAE" w14:textId="77777777" w:rsidR="0051782D" w:rsidRDefault="00000000">
      <w:pPr>
        <w:pStyle w:val="afff9"/>
        <w:ind w:left="0"/>
        <w:rPr>
          <w:rFonts w:ascii="黑体" w:eastAsia="黑体"/>
        </w:rPr>
      </w:pPr>
      <w:bookmarkStart w:id="195" w:name="_Toc3647"/>
      <w:bookmarkStart w:id="196" w:name="_Toc3339"/>
      <w:r>
        <w:br/>
      </w:r>
      <w:r>
        <w:rPr>
          <w:rFonts w:ascii="黑体" w:eastAsia="黑体" w:hint="eastAsia"/>
        </w:rPr>
        <w:t xml:space="preserve">    系统平均方均根值变动频率指标 system average root mean square frequency index</w:t>
      </w:r>
      <w:bookmarkEnd w:id="195"/>
      <w:bookmarkEnd w:id="196"/>
      <w:r>
        <w:rPr>
          <w:rFonts w:ascii="黑体" w:eastAsia="黑体" w:hint="eastAsia"/>
        </w:rPr>
        <w:t xml:space="preserve"> </w:t>
      </w:r>
    </w:p>
    <w:p w14:paraId="3DF704DA" w14:textId="77777777" w:rsidR="0051782D" w:rsidRDefault="00000000">
      <w:pPr>
        <w:pStyle w:val="aff6"/>
      </w:pPr>
      <w:r>
        <w:rPr>
          <w:rFonts w:hint="eastAsia"/>
        </w:rPr>
        <w:t>发生电压暂降(短时中断)事件次数的平均值, 是用来反映特定时间内某系统或某单一测点电压暂降(短时中断)发生频度的主要量化指标。</w:t>
      </w:r>
    </w:p>
    <w:p w14:paraId="4881F5BD" w14:textId="77777777" w:rsidR="0051782D" w:rsidRDefault="00000000">
      <w:pPr>
        <w:pStyle w:val="afff9"/>
        <w:ind w:left="0"/>
        <w:rPr>
          <w:rFonts w:ascii="黑体" w:eastAsia="黑体"/>
        </w:rPr>
      </w:pPr>
      <w:bookmarkStart w:id="197" w:name="_Toc14022"/>
      <w:bookmarkStart w:id="198" w:name="_Toc19126"/>
      <w:r>
        <w:br/>
      </w:r>
      <w:r>
        <w:rPr>
          <w:rFonts w:ascii="黑体" w:eastAsia="黑体" w:hint="eastAsia"/>
        </w:rPr>
        <w:t xml:space="preserve">    公共连接点  point of common coupling</w:t>
      </w:r>
      <w:bookmarkEnd w:id="197"/>
      <w:bookmarkEnd w:id="198"/>
    </w:p>
    <w:p w14:paraId="3CBD25A2" w14:textId="77777777" w:rsidR="0051782D" w:rsidRDefault="00000000">
      <w:pPr>
        <w:pStyle w:val="aff6"/>
      </w:pPr>
      <w:r>
        <w:rPr>
          <w:rFonts w:hint="eastAsia"/>
        </w:rPr>
        <w:t>光储充检一体化充电站接入公用电网的连接处。</w:t>
      </w:r>
    </w:p>
    <w:p w14:paraId="3F5986C0" w14:textId="77777777" w:rsidR="0051782D" w:rsidRDefault="0051782D">
      <w:pPr>
        <w:pStyle w:val="aff6"/>
      </w:pPr>
    </w:p>
    <w:p w14:paraId="689357DA" w14:textId="77777777" w:rsidR="0051782D" w:rsidRDefault="00000000">
      <w:pPr>
        <w:pStyle w:val="a1"/>
        <w:ind w:left="0"/>
        <w:outlineLvl w:val="0"/>
        <w:rPr>
          <w:color w:val="000000"/>
        </w:rPr>
      </w:pPr>
      <w:bookmarkStart w:id="199" w:name="_Toc7182"/>
      <w:bookmarkStart w:id="200" w:name="_Toc22252"/>
      <w:bookmarkStart w:id="201" w:name="_Toc22895"/>
      <w:bookmarkStart w:id="202" w:name="_Toc27017"/>
      <w:bookmarkStart w:id="203" w:name="_Toc3712"/>
      <w:bookmarkStart w:id="204" w:name="_Toc10298"/>
      <w:bookmarkStart w:id="205" w:name="_Toc595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color w:val="000000"/>
        </w:rPr>
        <w:t>总则</w:t>
      </w:r>
      <w:bookmarkEnd w:id="199"/>
      <w:bookmarkEnd w:id="200"/>
      <w:bookmarkEnd w:id="201"/>
      <w:bookmarkEnd w:id="202"/>
      <w:bookmarkEnd w:id="203"/>
      <w:bookmarkEnd w:id="204"/>
      <w:bookmarkEnd w:id="205"/>
    </w:p>
    <w:p w14:paraId="779E39CE" w14:textId="77777777" w:rsidR="0051782D" w:rsidRDefault="00000000">
      <w:pPr>
        <w:pStyle w:val="a2"/>
        <w:ind w:left="0"/>
        <w:rPr>
          <w:rFonts w:ascii="宋体" w:eastAsia="宋体" w:hAnsi="宋体" w:hint="eastAsia"/>
          <w:color w:val="000000"/>
          <w:kern w:val="2"/>
        </w:rPr>
      </w:pPr>
      <w:bookmarkStart w:id="206" w:name="_Toc29842"/>
      <w:bookmarkStart w:id="207" w:name="_Toc18723"/>
      <w:bookmarkStart w:id="208" w:name="_Toc7323"/>
      <w:r>
        <w:rPr>
          <w:rFonts w:ascii="宋体" w:eastAsia="宋体" w:hAnsi="宋体" w:hint="eastAsia"/>
          <w:color w:val="000000"/>
          <w:kern w:val="2"/>
        </w:rPr>
        <w:t xml:space="preserve"> </w:t>
      </w:r>
      <w:bookmarkStart w:id="209" w:name="_Toc23758"/>
      <w:bookmarkStart w:id="210" w:name="_Toc3471"/>
      <w:r>
        <w:rPr>
          <w:rFonts w:ascii="宋体" w:eastAsia="宋体" w:hAnsi="宋体" w:hint="eastAsia"/>
          <w:color w:val="000000"/>
          <w:kern w:val="2"/>
        </w:rPr>
        <w:t>光储充检一体化充电站规划、设计、建设、运行全过程应遵循标准化、规范化、整体化的原则。</w:t>
      </w:r>
      <w:bookmarkEnd w:id="206"/>
      <w:bookmarkEnd w:id="207"/>
      <w:bookmarkEnd w:id="208"/>
      <w:bookmarkEnd w:id="209"/>
      <w:bookmarkEnd w:id="210"/>
    </w:p>
    <w:p w14:paraId="0C1C9E75" w14:textId="77777777" w:rsidR="0051782D" w:rsidRDefault="00000000">
      <w:pPr>
        <w:pStyle w:val="a2"/>
        <w:ind w:left="0"/>
        <w:rPr>
          <w:rFonts w:ascii="宋体" w:eastAsia="宋体" w:hAnsi="宋体" w:hint="eastAsia"/>
          <w:color w:val="000000"/>
          <w:kern w:val="2"/>
        </w:rPr>
      </w:pPr>
      <w:bookmarkStart w:id="211" w:name="_Toc19436"/>
      <w:bookmarkStart w:id="212" w:name="_Toc8594"/>
      <w:bookmarkStart w:id="213" w:name="_Toc23764"/>
      <w:r>
        <w:rPr>
          <w:rFonts w:hAnsi="黑体" w:cs="黑体" w:hint="eastAsia"/>
          <w:color w:val="000000"/>
          <w:kern w:val="2"/>
        </w:rPr>
        <w:t xml:space="preserve"> </w:t>
      </w:r>
      <w:bookmarkStart w:id="214" w:name="_Toc20242"/>
      <w:bookmarkStart w:id="215" w:name="_Toc12698"/>
      <w:r>
        <w:rPr>
          <w:rFonts w:ascii="宋体" w:eastAsia="宋体" w:hAnsi="宋体" w:hint="eastAsia"/>
          <w:color w:val="000000"/>
          <w:kern w:val="2"/>
        </w:rPr>
        <w:t>光储充检一体化充电站应按照适度超前、统筹协调原则，加强接入配电网所需的线路走廊、地下通道、变/配电站址等与城乡发展相关规划、土地利用规划的衔接。</w:t>
      </w:r>
      <w:bookmarkEnd w:id="211"/>
      <w:bookmarkEnd w:id="212"/>
      <w:bookmarkEnd w:id="213"/>
      <w:bookmarkEnd w:id="214"/>
      <w:bookmarkEnd w:id="215"/>
    </w:p>
    <w:p w14:paraId="40F7A37A" w14:textId="77777777" w:rsidR="0051782D" w:rsidRDefault="00000000">
      <w:pPr>
        <w:pStyle w:val="a2"/>
        <w:ind w:left="0"/>
        <w:rPr>
          <w:rFonts w:ascii="宋体" w:eastAsia="宋体" w:hAnsi="宋体" w:hint="eastAsia"/>
          <w:color w:val="000000"/>
          <w:kern w:val="2"/>
        </w:rPr>
      </w:pPr>
      <w:bookmarkStart w:id="216" w:name="_Toc32267"/>
      <w:bookmarkStart w:id="217" w:name="_Toc2749"/>
      <w:bookmarkStart w:id="218" w:name="_Toc13395"/>
      <w:r>
        <w:rPr>
          <w:rFonts w:hAnsi="黑体" w:cs="黑体" w:hint="eastAsia"/>
          <w:color w:val="000000"/>
          <w:kern w:val="2"/>
        </w:rPr>
        <w:t xml:space="preserve"> </w:t>
      </w:r>
      <w:bookmarkStart w:id="219" w:name="_Toc1542"/>
      <w:bookmarkStart w:id="220" w:name="_Toc29569"/>
      <w:r>
        <w:rPr>
          <w:rFonts w:ascii="宋体" w:eastAsia="宋体" w:hAnsi="宋体" w:hint="eastAsia"/>
          <w:color w:val="000000"/>
          <w:kern w:val="2"/>
        </w:rPr>
        <w:t>光储充检一体化充电站应充分统筹电动汽车充电需求、光伏发电能力、储能调节能力等，明确公共连接点的接入位置、电源情况、供电能力、出资界面等。</w:t>
      </w:r>
      <w:bookmarkEnd w:id="216"/>
      <w:bookmarkEnd w:id="217"/>
      <w:bookmarkEnd w:id="218"/>
      <w:bookmarkEnd w:id="219"/>
      <w:bookmarkEnd w:id="220"/>
    </w:p>
    <w:p w14:paraId="77476944" w14:textId="77777777" w:rsidR="0051782D" w:rsidRDefault="00000000">
      <w:pPr>
        <w:pStyle w:val="a2"/>
        <w:ind w:left="0"/>
        <w:rPr>
          <w:rFonts w:ascii="宋体" w:eastAsia="宋体" w:hAnsi="宋体" w:hint="eastAsia"/>
          <w:color w:val="000000"/>
          <w:kern w:val="2"/>
        </w:rPr>
      </w:pPr>
      <w:bookmarkStart w:id="221" w:name="_Toc25126"/>
      <w:bookmarkStart w:id="222" w:name="_Toc14069"/>
      <w:bookmarkStart w:id="223" w:name="_Toc5832"/>
      <w:r>
        <w:rPr>
          <w:rFonts w:ascii="宋体" w:eastAsia="宋体" w:hAnsi="宋体" w:hint="eastAsia"/>
          <w:color w:val="000000"/>
          <w:kern w:val="2"/>
        </w:rPr>
        <w:t xml:space="preserve"> </w:t>
      </w:r>
      <w:bookmarkStart w:id="224" w:name="_Toc1740"/>
      <w:bookmarkStart w:id="225" w:name="_Toc13869"/>
      <w:r>
        <w:rPr>
          <w:rFonts w:ascii="宋体" w:eastAsia="宋体" w:hAnsi="宋体" w:hint="eastAsia"/>
          <w:color w:val="000000"/>
          <w:kern w:val="2"/>
        </w:rPr>
        <w:t>光储充检一体化充电站应遵循差异化原则，根据其充电站等级明确接入配电网的技术规范。</w:t>
      </w:r>
      <w:bookmarkEnd w:id="221"/>
      <w:bookmarkEnd w:id="222"/>
      <w:bookmarkEnd w:id="223"/>
      <w:bookmarkEnd w:id="224"/>
      <w:bookmarkEnd w:id="225"/>
    </w:p>
    <w:p w14:paraId="099E4FC4" w14:textId="77777777" w:rsidR="0051782D" w:rsidRDefault="00000000">
      <w:pPr>
        <w:pStyle w:val="a2"/>
        <w:ind w:left="0"/>
        <w:rPr>
          <w:rFonts w:ascii="宋体" w:eastAsia="宋体" w:hAnsi="宋体" w:hint="eastAsia"/>
          <w:color w:val="000000"/>
          <w:kern w:val="2"/>
        </w:rPr>
      </w:pPr>
      <w:bookmarkStart w:id="226" w:name="_Toc7534"/>
      <w:bookmarkStart w:id="227" w:name="_Toc4770"/>
      <w:bookmarkStart w:id="228" w:name="_Toc19302"/>
      <w:r>
        <w:rPr>
          <w:rFonts w:hAnsi="黑体" w:cs="黑体" w:hint="eastAsia"/>
          <w:color w:val="000000"/>
          <w:kern w:val="2"/>
        </w:rPr>
        <w:t xml:space="preserve"> </w:t>
      </w:r>
      <w:bookmarkStart w:id="229" w:name="_Toc14636"/>
      <w:bookmarkStart w:id="230" w:name="_Toc2889"/>
      <w:r>
        <w:rPr>
          <w:rFonts w:ascii="宋体" w:eastAsia="宋体" w:hAnsi="宋体" w:hint="eastAsia"/>
          <w:color w:val="000000"/>
          <w:kern w:val="2"/>
        </w:rPr>
        <w:t>光储充检一体化充电站应遵循所接入配电网要求，明确数据测量、通信、交互、安全等全流程规范。</w:t>
      </w:r>
      <w:bookmarkEnd w:id="226"/>
      <w:bookmarkEnd w:id="227"/>
      <w:bookmarkEnd w:id="228"/>
      <w:bookmarkEnd w:id="229"/>
      <w:bookmarkEnd w:id="230"/>
    </w:p>
    <w:p w14:paraId="1966C1A3" w14:textId="77777777" w:rsidR="0051782D" w:rsidRDefault="00000000">
      <w:pPr>
        <w:pStyle w:val="a1"/>
        <w:ind w:left="0"/>
        <w:outlineLvl w:val="0"/>
      </w:pPr>
      <w:bookmarkStart w:id="231" w:name="_Toc30777"/>
      <w:r>
        <w:rPr>
          <w:rFonts w:hint="eastAsia"/>
        </w:rPr>
        <w:t xml:space="preserve"> </w:t>
      </w:r>
      <w:bookmarkStart w:id="232" w:name="_Toc8039"/>
      <w:bookmarkStart w:id="233" w:name="_Toc10076"/>
      <w:bookmarkStart w:id="234" w:name="_Toc32346"/>
      <w:bookmarkStart w:id="235" w:name="_Toc28869"/>
      <w:bookmarkStart w:id="236" w:name="_Toc9880"/>
      <w:bookmarkStart w:id="237" w:name="_Toc20403"/>
      <w:r>
        <w:rPr>
          <w:rFonts w:hint="eastAsia"/>
        </w:rPr>
        <w:t>接入配电网一次系统要求</w:t>
      </w:r>
      <w:bookmarkEnd w:id="231"/>
      <w:bookmarkEnd w:id="232"/>
      <w:bookmarkEnd w:id="233"/>
      <w:bookmarkEnd w:id="234"/>
      <w:bookmarkEnd w:id="235"/>
      <w:bookmarkEnd w:id="236"/>
      <w:bookmarkEnd w:id="237"/>
    </w:p>
    <w:p w14:paraId="161F3CDF" w14:textId="77777777" w:rsidR="0051782D" w:rsidRDefault="00000000">
      <w:pPr>
        <w:pStyle w:val="a2"/>
        <w:ind w:left="0"/>
        <w:outlineLvl w:val="1"/>
        <w:rPr>
          <w:rFonts w:hAnsi="黑体" w:cs="黑体" w:hint="eastAsia"/>
          <w:color w:val="000000"/>
          <w:szCs w:val="22"/>
        </w:rPr>
      </w:pPr>
      <w:bookmarkStart w:id="238" w:name="_Toc14243"/>
      <w:r>
        <w:rPr>
          <w:rFonts w:hAnsi="黑体" w:cs="黑体" w:hint="eastAsia"/>
          <w:color w:val="000000"/>
          <w:szCs w:val="22"/>
        </w:rPr>
        <w:t xml:space="preserve">　</w:t>
      </w:r>
      <w:bookmarkStart w:id="239" w:name="_Toc21187"/>
      <w:bookmarkStart w:id="240" w:name="_Toc30401"/>
      <w:bookmarkStart w:id="241" w:name="_Toc19994"/>
      <w:bookmarkStart w:id="242" w:name="_Toc25549"/>
      <w:bookmarkStart w:id="243" w:name="_Toc25285"/>
      <w:bookmarkStart w:id="244" w:name="_Toc15269"/>
      <w:r>
        <w:rPr>
          <w:rFonts w:hAnsi="黑体" w:cs="黑体" w:hint="eastAsia"/>
          <w:color w:val="000000"/>
          <w:szCs w:val="22"/>
        </w:rPr>
        <w:t>一般原则</w:t>
      </w:r>
      <w:bookmarkEnd w:id="238"/>
      <w:bookmarkEnd w:id="239"/>
      <w:bookmarkEnd w:id="240"/>
      <w:bookmarkEnd w:id="241"/>
      <w:bookmarkEnd w:id="242"/>
      <w:bookmarkEnd w:id="243"/>
      <w:bookmarkEnd w:id="244"/>
    </w:p>
    <w:p w14:paraId="476EE26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光储充检一体化充电站中光伏发电系统应符合GB/T 29319的有关要求，充分考虑光伏装机容量、当地太阳辐射情况、光伏发电量等因素，合理评估光伏发电规模，便于明确公共连接点、接入形式、运行方式、设备选取等。</w:t>
      </w:r>
    </w:p>
    <w:p w14:paraId="03F01D0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光储充检一体化充电站中储能电池系统应符合GB/T 36547的有关要求，应根据光伏发电量、电动汽车充电需求等配置适当容量的储能，并且满足调节指令响应要求，能够实现低电价进行充电、高电价进行放电等操作。</w:t>
      </w:r>
    </w:p>
    <w:p w14:paraId="2D9745D4"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lastRenderedPageBreak/>
        <w:t>光储充检一体化充电站中电动汽车充（换）电系统应以满足所在区域电动汽车充电需求为基础，合理安排充电桩数量和充电桩类型。</w:t>
      </w:r>
    </w:p>
    <w:p w14:paraId="1F5EA22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光储充检一体化充电站中电动汽车充电桩的功率因素应达0.9以上。</w:t>
      </w:r>
    </w:p>
    <w:p w14:paraId="0C7F2DE7"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光储充检一体化充电站接入配电网应符合DL/T 5729的有关要求，应充分考虑公共连接点的供电能力，便于电源线路的引入，保障电网安全和电动汽车的电能供给。</w:t>
      </w:r>
    </w:p>
    <w:p w14:paraId="06109CD6" w14:textId="77777777" w:rsidR="0051782D" w:rsidRDefault="00000000">
      <w:pPr>
        <w:pStyle w:val="a2"/>
        <w:ind w:left="0"/>
        <w:outlineLvl w:val="1"/>
        <w:rPr>
          <w:rFonts w:hAnsi="黑体" w:cs="黑体" w:hint="eastAsia"/>
        </w:rPr>
      </w:pPr>
      <w:bookmarkStart w:id="245" w:name="_Toc26869"/>
      <w:bookmarkStart w:id="246" w:name="_Toc24166"/>
      <w:bookmarkStart w:id="247" w:name="_Toc20477"/>
      <w:bookmarkStart w:id="248" w:name="_Toc10913"/>
      <w:bookmarkStart w:id="249" w:name="_Toc23193"/>
      <w:bookmarkStart w:id="250" w:name="_Toc12768"/>
      <w:bookmarkStart w:id="251" w:name="_Toc12638"/>
      <w:r>
        <w:rPr>
          <w:rFonts w:hAnsi="黑体" w:cs="黑体" w:hint="eastAsia"/>
        </w:rPr>
        <w:t>充电站等级</w:t>
      </w:r>
      <w:bookmarkEnd w:id="245"/>
      <w:bookmarkEnd w:id="246"/>
      <w:bookmarkEnd w:id="247"/>
      <w:bookmarkEnd w:id="248"/>
      <w:bookmarkEnd w:id="249"/>
      <w:bookmarkEnd w:id="250"/>
      <w:bookmarkEnd w:id="251"/>
    </w:p>
    <w:p w14:paraId="465D6DC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政治、经济、安全、交通等单方面或者多方面影响较大，或者场站充电总功率不低于400kW，或者存在单枪功率不低于120kW快充设备的光储充检一体化充电站，属于重要电力用户。</w:t>
      </w:r>
    </w:p>
    <w:p w14:paraId="094908F8"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政治、经济、安全、交通等均无较大影响的光储充检一体化充电站，属于普通电力用户。</w:t>
      </w:r>
    </w:p>
    <w:p w14:paraId="51E9C2DF" w14:textId="77777777" w:rsidR="0051782D" w:rsidRDefault="00000000">
      <w:pPr>
        <w:pStyle w:val="a2"/>
        <w:ind w:left="0"/>
        <w:outlineLvl w:val="1"/>
        <w:rPr>
          <w:rFonts w:hAnsi="黑体" w:cs="黑体" w:hint="eastAsia"/>
        </w:rPr>
      </w:pPr>
      <w:bookmarkStart w:id="252" w:name="_Toc10625"/>
      <w:bookmarkStart w:id="253" w:name="_Toc31452"/>
      <w:bookmarkStart w:id="254" w:name="_Toc30948"/>
      <w:bookmarkStart w:id="255" w:name="_Toc18896"/>
      <w:bookmarkStart w:id="256" w:name="_Toc22425"/>
      <w:bookmarkStart w:id="257" w:name="_Toc30453"/>
      <w:bookmarkStart w:id="258" w:name="_Toc10711"/>
      <w:r>
        <w:rPr>
          <w:rFonts w:hAnsi="黑体" w:cs="黑体" w:hint="eastAsia"/>
        </w:rPr>
        <w:t>电压等级</w:t>
      </w:r>
      <w:bookmarkEnd w:id="252"/>
      <w:bookmarkEnd w:id="253"/>
      <w:bookmarkEnd w:id="254"/>
      <w:bookmarkEnd w:id="255"/>
      <w:bookmarkEnd w:id="256"/>
      <w:bookmarkEnd w:id="257"/>
      <w:bookmarkEnd w:id="258"/>
    </w:p>
    <w:p w14:paraId="0FE5C85F"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光储充检一体化充电站所采用的标称电压应符合GB/T 156的要求，并网电压等级应根据光伏发电量、储能调节能力、充（换）电设施负荷等，统筹考虑充（换）电同时率、天气变化等不确定因素，明确公共连接点交互电量，经过技术经济比较后确定，具体可参考表1。</w:t>
      </w:r>
    </w:p>
    <w:p w14:paraId="7D449270" w14:textId="77777777" w:rsidR="0051782D" w:rsidRDefault="00000000">
      <w:pPr>
        <w:pStyle w:val="ad"/>
        <w:tabs>
          <w:tab w:val="clear" w:pos="180"/>
        </w:tabs>
        <w:spacing w:before="156" w:after="156"/>
        <w:ind w:left="567" w:hanging="567"/>
      </w:pPr>
      <w:r>
        <w:rPr>
          <w:rFonts w:hint="eastAsia"/>
        </w:rPr>
        <w:t>光储充检一体化充电站接入电压等级推荐表</w:t>
      </w:r>
    </w:p>
    <w:tbl>
      <w:tblPr>
        <w:tblStyle w:val="aff2"/>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4"/>
        <w:gridCol w:w="2846"/>
      </w:tblGrid>
      <w:tr w:rsidR="0051782D" w14:paraId="0CB9AC8A" w14:textId="77777777">
        <w:trPr>
          <w:trHeight w:val="90"/>
          <w:jc w:val="center"/>
        </w:trPr>
        <w:tc>
          <w:tcPr>
            <w:tcW w:w="6724" w:type="dxa"/>
            <w:vAlign w:val="center"/>
          </w:tcPr>
          <w:p w14:paraId="4AB2E027" w14:textId="77777777" w:rsidR="0051782D" w:rsidRDefault="00000000">
            <w:pPr>
              <w:pStyle w:val="aff6"/>
              <w:numPr>
                <w:ilvl w:val="255"/>
                <w:numId w:val="0"/>
              </w:numPr>
              <w:jc w:val="center"/>
              <w:rPr>
                <w:sz w:val="18"/>
              </w:rPr>
            </w:pPr>
            <w:r>
              <w:rPr>
                <w:rFonts w:hAnsi="宋体" w:cs="宋体" w:hint="eastAsia"/>
                <w:sz w:val="18"/>
              </w:rPr>
              <w:t>光储充检一体化充电站公共连接点最大交互电量</w:t>
            </w:r>
          </w:p>
        </w:tc>
        <w:tc>
          <w:tcPr>
            <w:tcW w:w="2846" w:type="dxa"/>
            <w:vAlign w:val="center"/>
          </w:tcPr>
          <w:p w14:paraId="4B4E0F9C" w14:textId="77777777" w:rsidR="0051782D" w:rsidRDefault="00000000">
            <w:pPr>
              <w:pStyle w:val="aff6"/>
              <w:numPr>
                <w:ilvl w:val="255"/>
                <w:numId w:val="0"/>
              </w:numPr>
              <w:jc w:val="center"/>
              <w:rPr>
                <w:sz w:val="18"/>
              </w:rPr>
            </w:pPr>
            <w:r>
              <w:rPr>
                <w:rFonts w:hint="eastAsia"/>
                <w:sz w:val="18"/>
              </w:rPr>
              <w:t>接入电压等级</w:t>
            </w:r>
          </w:p>
        </w:tc>
      </w:tr>
      <w:tr w:rsidR="0051782D" w14:paraId="2174E486" w14:textId="77777777">
        <w:trPr>
          <w:jc w:val="center"/>
        </w:trPr>
        <w:tc>
          <w:tcPr>
            <w:tcW w:w="6724" w:type="dxa"/>
            <w:vAlign w:val="center"/>
          </w:tcPr>
          <w:p w14:paraId="4A1CEDF1" w14:textId="77777777" w:rsidR="0051782D" w:rsidRDefault="00000000">
            <w:pPr>
              <w:pStyle w:val="aff6"/>
              <w:numPr>
                <w:ilvl w:val="255"/>
                <w:numId w:val="0"/>
              </w:numPr>
              <w:jc w:val="center"/>
              <w:rPr>
                <w:sz w:val="18"/>
              </w:rPr>
            </w:pPr>
            <w:r>
              <w:rPr>
                <w:rFonts w:hint="eastAsia"/>
                <w:sz w:val="18"/>
              </w:rPr>
              <w:t>10kW及以下</w:t>
            </w:r>
          </w:p>
        </w:tc>
        <w:tc>
          <w:tcPr>
            <w:tcW w:w="2846" w:type="dxa"/>
            <w:vAlign w:val="center"/>
          </w:tcPr>
          <w:p w14:paraId="52E11F26" w14:textId="77777777" w:rsidR="0051782D" w:rsidRDefault="00000000">
            <w:pPr>
              <w:pStyle w:val="aff6"/>
              <w:numPr>
                <w:ilvl w:val="255"/>
                <w:numId w:val="0"/>
              </w:numPr>
              <w:jc w:val="center"/>
              <w:rPr>
                <w:sz w:val="18"/>
              </w:rPr>
            </w:pPr>
            <w:r>
              <w:rPr>
                <w:rFonts w:hint="eastAsia"/>
                <w:sz w:val="18"/>
              </w:rPr>
              <w:t>220V</w:t>
            </w:r>
          </w:p>
        </w:tc>
      </w:tr>
      <w:tr w:rsidR="0051782D" w14:paraId="0FF0A809" w14:textId="77777777">
        <w:trPr>
          <w:jc w:val="center"/>
        </w:trPr>
        <w:tc>
          <w:tcPr>
            <w:tcW w:w="6724" w:type="dxa"/>
            <w:vAlign w:val="center"/>
          </w:tcPr>
          <w:p w14:paraId="1C6FBBDA" w14:textId="77777777" w:rsidR="0051782D" w:rsidRDefault="00000000">
            <w:pPr>
              <w:pStyle w:val="aff6"/>
              <w:numPr>
                <w:ilvl w:val="255"/>
                <w:numId w:val="0"/>
              </w:numPr>
              <w:jc w:val="center"/>
              <w:rPr>
                <w:sz w:val="18"/>
              </w:rPr>
            </w:pPr>
            <w:r>
              <w:rPr>
                <w:rFonts w:hint="eastAsia"/>
                <w:sz w:val="18"/>
              </w:rPr>
              <w:t>160kW及以下</w:t>
            </w:r>
          </w:p>
        </w:tc>
        <w:tc>
          <w:tcPr>
            <w:tcW w:w="2846" w:type="dxa"/>
            <w:vAlign w:val="center"/>
          </w:tcPr>
          <w:p w14:paraId="05866581" w14:textId="77777777" w:rsidR="0051782D" w:rsidRDefault="00000000">
            <w:pPr>
              <w:pStyle w:val="aff6"/>
              <w:numPr>
                <w:ilvl w:val="255"/>
                <w:numId w:val="0"/>
              </w:numPr>
              <w:jc w:val="center"/>
              <w:rPr>
                <w:sz w:val="18"/>
              </w:rPr>
            </w:pPr>
            <w:r>
              <w:rPr>
                <w:rFonts w:hint="eastAsia"/>
                <w:sz w:val="18"/>
              </w:rPr>
              <w:t>380V</w:t>
            </w:r>
          </w:p>
        </w:tc>
      </w:tr>
      <w:tr w:rsidR="0051782D" w14:paraId="13857377" w14:textId="77777777">
        <w:trPr>
          <w:jc w:val="center"/>
        </w:trPr>
        <w:tc>
          <w:tcPr>
            <w:tcW w:w="6724" w:type="dxa"/>
            <w:vAlign w:val="center"/>
          </w:tcPr>
          <w:p w14:paraId="1E6B0E27" w14:textId="77777777" w:rsidR="0051782D" w:rsidRDefault="00000000">
            <w:pPr>
              <w:pStyle w:val="aff6"/>
              <w:numPr>
                <w:ilvl w:val="255"/>
                <w:numId w:val="0"/>
              </w:numPr>
              <w:jc w:val="center"/>
              <w:rPr>
                <w:sz w:val="18"/>
              </w:rPr>
            </w:pPr>
            <w:r>
              <w:rPr>
                <w:rFonts w:hint="eastAsia"/>
                <w:sz w:val="18"/>
              </w:rPr>
              <w:t>160kW以上</w:t>
            </w:r>
          </w:p>
        </w:tc>
        <w:tc>
          <w:tcPr>
            <w:tcW w:w="2846" w:type="dxa"/>
            <w:vAlign w:val="center"/>
          </w:tcPr>
          <w:p w14:paraId="0C0AC071" w14:textId="77777777" w:rsidR="0051782D" w:rsidRDefault="00000000">
            <w:pPr>
              <w:pStyle w:val="aff6"/>
              <w:numPr>
                <w:ilvl w:val="255"/>
                <w:numId w:val="0"/>
              </w:numPr>
              <w:jc w:val="center"/>
              <w:rPr>
                <w:sz w:val="18"/>
              </w:rPr>
            </w:pPr>
            <w:r>
              <w:rPr>
                <w:rFonts w:hint="eastAsia"/>
                <w:sz w:val="18"/>
              </w:rPr>
              <w:t>10kV</w:t>
            </w:r>
          </w:p>
        </w:tc>
      </w:tr>
    </w:tbl>
    <w:p w14:paraId="01AB497E" w14:textId="77777777" w:rsidR="0051782D" w:rsidRDefault="0051782D">
      <w:pPr>
        <w:pStyle w:val="aff6"/>
        <w:spacing w:before="156" w:after="156"/>
        <w:ind w:firstLineChars="0" w:firstLine="0"/>
        <w:rPr>
          <w:rFonts w:ascii="黑体" w:eastAsia="黑体" w:hAnsi="黑体" w:cs="黑体" w:hint="eastAsia"/>
        </w:rPr>
      </w:pPr>
    </w:p>
    <w:p w14:paraId="232F0F29"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当光储充检一体化充电站属于重要电力用户，应采用高一级电压供电。</w:t>
      </w:r>
    </w:p>
    <w:p w14:paraId="5F656E10"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光储充检一体化充电站总负荷超过所接入的配电变压器容量30%时，宜采用10kV供电电压等级。</w:t>
      </w:r>
    </w:p>
    <w:p w14:paraId="513C484F" w14:textId="77777777" w:rsidR="0051782D" w:rsidRDefault="00000000">
      <w:pPr>
        <w:pStyle w:val="a2"/>
        <w:ind w:left="0"/>
        <w:outlineLvl w:val="1"/>
        <w:rPr>
          <w:rFonts w:hAnsi="黑体" w:cs="黑体" w:hint="eastAsia"/>
        </w:rPr>
      </w:pPr>
      <w:bookmarkStart w:id="259" w:name="_Toc28285"/>
      <w:bookmarkStart w:id="260" w:name="_Toc2367"/>
      <w:bookmarkStart w:id="261" w:name="_Toc9971"/>
      <w:bookmarkStart w:id="262" w:name="_Toc6520"/>
      <w:bookmarkStart w:id="263" w:name="_Toc8593"/>
      <w:bookmarkStart w:id="264" w:name="_Toc1032"/>
      <w:r>
        <w:rPr>
          <w:rFonts w:hAnsi="黑体" w:cs="黑体" w:hint="eastAsia"/>
        </w:rPr>
        <w:t>公共连接点</w:t>
      </w:r>
      <w:bookmarkEnd w:id="259"/>
      <w:bookmarkEnd w:id="260"/>
      <w:bookmarkEnd w:id="261"/>
      <w:bookmarkEnd w:id="262"/>
      <w:bookmarkEnd w:id="263"/>
      <w:bookmarkEnd w:id="264"/>
    </w:p>
    <w:p w14:paraId="10AED924"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光储充检一体化充电站公共连接点选择应根据其充电站等级、接入电压等级、现有电网情况、是否需要新装变压器等因素进行确定。</w:t>
      </w:r>
    </w:p>
    <w:p w14:paraId="1ECCF6C6"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当光储充检一体化充电站属于普通电力用户、接入220V电压等级、满足电网接入系统要求，宜接入低压公用配电箱、低压电缆分支箱等。</w:t>
      </w:r>
    </w:p>
    <w:p w14:paraId="3823C25A"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lastRenderedPageBreak/>
        <w:t>当光储充检一体化充电站属于普通电力用户、接入380V电压等级、满足电网接入系统要求，宜接入低压公用配电箱、低压电缆分支箱、配电变压器低压母线等。</w:t>
      </w:r>
    </w:p>
    <w:p w14:paraId="4EE3C7EB"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光储充检一体化充电站满足以下条件之一：属于重要电力用户、接入电压为10kV、现有电网需要进行适当改造、需要新增变压器等，宜接入变电站、开关站、环网柜（箱）、架空线等。</w:t>
      </w:r>
    </w:p>
    <w:p w14:paraId="13795851" w14:textId="77777777" w:rsidR="0051782D" w:rsidRDefault="00000000">
      <w:pPr>
        <w:pStyle w:val="a2"/>
        <w:ind w:left="0"/>
        <w:outlineLvl w:val="1"/>
        <w:rPr>
          <w:rFonts w:hAnsi="黑体" w:cs="黑体" w:hint="eastAsia"/>
        </w:rPr>
      </w:pPr>
      <w:bookmarkStart w:id="265" w:name="_Toc11510"/>
      <w:bookmarkStart w:id="266" w:name="_Toc30077"/>
      <w:bookmarkStart w:id="267" w:name="_Toc22297"/>
      <w:bookmarkStart w:id="268" w:name="_Toc1997"/>
      <w:bookmarkStart w:id="269" w:name="_Toc16277"/>
      <w:bookmarkStart w:id="270" w:name="_Toc21206"/>
      <w:bookmarkStart w:id="271" w:name="_Toc6504"/>
      <w:r>
        <w:rPr>
          <w:rFonts w:hAnsi="黑体" w:cs="黑体" w:hint="eastAsia"/>
        </w:rPr>
        <w:t>接线方式</w:t>
      </w:r>
      <w:bookmarkEnd w:id="265"/>
      <w:bookmarkEnd w:id="266"/>
      <w:bookmarkEnd w:id="267"/>
      <w:bookmarkEnd w:id="268"/>
      <w:bookmarkEnd w:id="269"/>
      <w:bookmarkEnd w:id="270"/>
      <w:bookmarkEnd w:id="271"/>
    </w:p>
    <w:p w14:paraId="313DDC04"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电气主接线方式应根据最终建设规模、规划充电容量、接入电压等级、电动汽车充电需求、光伏发电能力、储能调节能力、公共连接点交互电量、出线回路数等条件，通过技术经济分析比较后确定。结合站区负荷等级、供电可靠性要求，合理设置母线联络、备用电源。</w:t>
      </w:r>
    </w:p>
    <w:p w14:paraId="2D2E4EF6"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当光储充检一体化充电站满足以下条件之一：属于普通电力用户、接入220/380V电压等级等，其电气主接线宜采用单母线或单母线分段接线，全站共用低压公共母线。</w:t>
      </w:r>
    </w:p>
    <w:p w14:paraId="6497EE1C" w14:textId="77777777" w:rsidR="0051782D" w:rsidRDefault="00000000">
      <w:pPr>
        <w:pStyle w:val="a3"/>
        <w:spacing w:before="156" w:after="156"/>
        <w:ind w:left="0"/>
        <w:rPr>
          <w:rFonts w:hAnsi="黑体" w:cs="黑体" w:hint="eastAsia"/>
        </w:rPr>
      </w:pPr>
      <w:r>
        <w:rPr>
          <w:rFonts w:ascii="宋体" w:eastAsia="宋体" w:hAnsi="宋体" w:cs="宋体" w:hint="eastAsia"/>
        </w:rPr>
        <w:t>光储充检一体化充电站满足以下条件之一：属于重要电力用户、接入电压为10kV等，其电气主接线宜采用单元、单母线或单母线分段接线。</w:t>
      </w:r>
    </w:p>
    <w:p w14:paraId="33969199" w14:textId="77777777" w:rsidR="0051782D" w:rsidRDefault="00000000">
      <w:pPr>
        <w:pStyle w:val="a2"/>
        <w:ind w:left="0"/>
        <w:outlineLvl w:val="1"/>
        <w:rPr>
          <w:rFonts w:hAnsi="黑体" w:cs="黑体" w:hint="eastAsia"/>
        </w:rPr>
      </w:pPr>
      <w:bookmarkStart w:id="272" w:name="_Toc8495"/>
      <w:bookmarkStart w:id="273" w:name="_Toc22244"/>
      <w:bookmarkStart w:id="274" w:name="_Toc11037"/>
      <w:bookmarkStart w:id="275" w:name="_Toc12681"/>
      <w:bookmarkStart w:id="276" w:name="_Toc23649"/>
      <w:bookmarkStart w:id="277" w:name="_Toc4578"/>
      <w:bookmarkStart w:id="278" w:name="_Toc26957"/>
      <w:r>
        <w:rPr>
          <w:rFonts w:hAnsi="黑体" w:cs="黑体" w:hint="eastAsia"/>
        </w:rPr>
        <w:t>运行方式</w:t>
      </w:r>
      <w:bookmarkEnd w:id="272"/>
      <w:bookmarkEnd w:id="273"/>
      <w:bookmarkEnd w:id="274"/>
      <w:bookmarkEnd w:id="275"/>
      <w:bookmarkEnd w:id="276"/>
      <w:bookmarkEnd w:id="277"/>
      <w:bookmarkEnd w:id="278"/>
    </w:p>
    <w:p w14:paraId="325C63DD"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光储充检一体化充电站运行方式应考虑其充电站等级、供电能力、电能质量、电网安全等因素，同时兼顾城市地形、地貌和道路规划选择等，以短捷顺直路径为原则，合理选择电源点，避免近电远供、交叉迂回。</w:t>
      </w:r>
    </w:p>
    <w:p w14:paraId="1D6FE17D"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当光储充检一体化充电站属于重要电力用户，宜采用双回路供电，应满足如下要求：</w:t>
      </w:r>
    </w:p>
    <w:p w14:paraId="682A47D5" w14:textId="77777777" w:rsidR="0051782D" w:rsidRDefault="00000000">
      <w:pPr>
        <w:pStyle w:val="aff6"/>
        <w:spacing w:before="156" w:after="156"/>
        <w:rPr>
          <w:rFonts w:hAnsi="宋体" w:cs="宋体" w:hint="eastAsia"/>
        </w:rPr>
      </w:pPr>
      <w:r>
        <w:rPr>
          <w:rFonts w:hAnsi="宋体" w:cs="宋体" w:hint="eastAsia"/>
        </w:rPr>
        <w:t>a）当任何一路电源发生故障时，另一路电源应能对保安负荷持续供电；</w:t>
      </w:r>
    </w:p>
    <w:p w14:paraId="3912A4E6" w14:textId="77777777" w:rsidR="0051782D" w:rsidRDefault="00000000">
      <w:pPr>
        <w:pStyle w:val="aff6"/>
        <w:rPr>
          <w:rFonts w:hAnsi="宋体" w:cs="宋体" w:hint="eastAsia"/>
        </w:rPr>
      </w:pPr>
      <w:r>
        <w:rPr>
          <w:rFonts w:hAnsi="宋体" w:cs="宋体" w:hint="eastAsia"/>
        </w:rPr>
        <w:t>b）应配置自备紧急电源，电源容量至少应满足全部保安负荷正常供电需求，自备电源应和政策供电电源有可靠的连锁。</w:t>
      </w:r>
    </w:p>
    <w:p w14:paraId="1B4CE25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当光储充检一体化充电站属于普通电力用户，可采用单回线路供电，可配置自备应急电源，电源容量宜满足80%保安负荷正常供电需求。</w:t>
      </w:r>
    </w:p>
    <w:p w14:paraId="6F934AAA" w14:textId="77777777" w:rsidR="0051782D" w:rsidRDefault="00000000">
      <w:pPr>
        <w:pStyle w:val="a2"/>
        <w:ind w:left="0"/>
        <w:outlineLvl w:val="1"/>
        <w:rPr>
          <w:rFonts w:hAnsi="黑体" w:cs="黑体" w:hint="eastAsia"/>
        </w:rPr>
      </w:pPr>
      <w:bookmarkStart w:id="279" w:name="_Toc2352"/>
      <w:bookmarkStart w:id="280" w:name="_Toc1904"/>
      <w:bookmarkStart w:id="281" w:name="_Toc31221"/>
      <w:bookmarkStart w:id="282" w:name="_Toc5192"/>
      <w:bookmarkStart w:id="283" w:name="_Toc9793"/>
      <w:bookmarkStart w:id="284" w:name="_Toc9101"/>
      <w:bookmarkStart w:id="285" w:name="_Toc22867"/>
      <w:r>
        <w:rPr>
          <w:rFonts w:hAnsi="黑体" w:cs="黑体" w:hint="eastAsia"/>
        </w:rPr>
        <w:t>无功补偿</w:t>
      </w:r>
      <w:bookmarkEnd w:id="279"/>
      <w:bookmarkEnd w:id="280"/>
      <w:bookmarkEnd w:id="281"/>
      <w:bookmarkEnd w:id="282"/>
      <w:bookmarkEnd w:id="283"/>
      <w:bookmarkEnd w:id="284"/>
      <w:bookmarkEnd w:id="285"/>
    </w:p>
    <w:p w14:paraId="00A444A9"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光储充检一体化充电站接入配电网应按照“同步设计、同步施工、同步投运”原则，配置相关无功补偿装置。</w:t>
      </w:r>
    </w:p>
    <w:p w14:paraId="38EAC64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光储充检一体化充电站的无功补充装置应统筹考虑光伏发电的不确定性影响，储能电池系统应具备一定无功补偿和无功控制能力，按就地平衡的原则进行配置。</w:t>
      </w:r>
    </w:p>
    <w:p w14:paraId="21C4BB08" w14:textId="77777777" w:rsidR="0051782D" w:rsidRDefault="00000000">
      <w:pPr>
        <w:pStyle w:val="a3"/>
        <w:spacing w:before="156" w:after="156"/>
        <w:ind w:left="0"/>
        <w:rPr>
          <w:rFonts w:hAnsi="黑体" w:cs="黑体" w:hint="eastAsia"/>
          <w:color w:val="000000"/>
          <w:kern w:val="2"/>
        </w:rPr>
      </w:pPr>
      <w:r>
        <w:rPr>
          <w:rFonts w:ascii="宋体" w:eastAsia="宋体" w:hAnsi="宋体" w:cs="宋体" w:hint="eastAsia"/>
        </w:rPr>
        <w:lastRenderedPageBreak/>
        <w:t>光储充检</w:t>
      </w:r>
      <w:r>
        <w:rPr>
          <w:rFonts w:ascii="宋体" w:eastAsia="宋体" w:hAnsi="宋体" w:cs="宋体" w:hint="eastAsia"/>
          <w:szCs w:val="22"/>
        </w:rPr>
        <w:t>一体化充电站接入10kV电压等级时，公共连接点的功率因素不宜低于0.95，不能满足要求的应在变压器低压侧集中安装适当容量的无功补偿装置，且应具备自动投切的控制功能，防止向系统倒送无功功率。</w:t>
      </w:r>
    </w:p>
    <w:p w14:paraId="1347D3D0"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光储充检一体化充电站接入220/380V电压等级时，公共连接点的功率因素不宜低于0.9，不能满足要求的应就地安装适当容量的无功补偿装置，且应具备自动投切的控制功能，防止向系统倒送无功功率。</w:t>
      </w:r>
    </w:p>
    <w:p w14:paraId="459584FD" w14:textId="77777777" w:rsidR="0051782D" w:rsidRDefault="00000000">
      <w:pPr>
        <w:pStyle w:val="a2"/>
        <w:ind w:left="0"/>
        <w:outlineLvl w:val="1"/>
        <w:rPr>
          <w:rFonts w:hAnsi="黑体" w:cs="黑体" w:hint="eastAsia"/>
        </w:rPr>
      </w:pPr>
      <w:bookmarkStart w:id="286" w:name="_Toc25509"/>
      <w:bookmarkStart w:id="287" w:name="_Toc27109"/>
      <w:bookmarkStart w:id="288" w:name="_Toc29580"/>
      <w:bookmarkStart w:id="289" w:name="_Toc8250"/>
      <w:bookmarkStart w:id="290" w:name="_Toc26964"/>
      <w:bookmarkStart w:id="291" w:name="_Toc10889"/>
      <w:bookmarkStart w:id="292" w:name="_Toc21934"/>
      <w:r>
        <w:rPr>
          <w:rFonts w:hAnsi="黑体" w:cs="黑体" w:hint="eastAsia"/>
        </w:rPr>
        <w:t>主要设备选择</w:t>
      </w:r>
      <w:bookmarkEnd w:id="286"/>
      <w:bookmarkEnd w:id="287"/>
      <w:bookmarkEnd w:id="288"/>
      <w:bookmarkEnd w:id="289"/>
      <w:bookmarkEnd w:id="290"/>
      <w:bookmarkEnd w:id="291"/>
      <w:bookmarkEnd w:id="292"/>
    </w:p>
    <w:p w14:paraId="141BC11E" w14:textId="77777777" w:rsidR="0051782D" w:rsidRDefault="00000000">
      <w:pPr>
        <w:pStyle w:val="a3"/>
        <w:spacing w:before="156" w:after="156"/>
        <w:ind w:left="0"/>
        <w:outlineLvl w:val="2"/>
        <w:rPr>
          <w:rFonts w:hAnsi="黑体" w:cs="黑体" w:hint="eastAsia"/>
        </w:rPr>
      </w:pPr>
      <w:bookmarkStart w:id="293" w:name="_Toc30210"/>
      <w:bookmarkStart w:id="294" w:name="_Toc7553"/>
      <w:r>
        <w:rPr>
          <w:rFonts w:hAnsi="黑体" w:cs="黑体" w:hint="eastAsia"/>
        </w:rPr>
        <w:t>供电变压器</w:t>
      </w:r>
      <w:bookmarkEnd w:id="293"/>
      <w:bookmarkEnd w:id="294"/>
    </w:p>
    <w:p w14:paraId="07CC6243" w14:textId="77777777" w:rsidR="0051782D" w:rsidRDefault="00000000">
      <w:pPr>
        <w:pStyle w:val="aff6"/>
        <w:spacing w:before="156" w:after="156"/>
        <w:rPr>
          <w:rFonts w:hAnsi="宋体" w:cs="宋体" w:hint="eastAsia"/>
        </w:rPr>
      </w:pPr>
      <w:r>
        <w:rPr>
          <w:rFonts w:hAnsi="宋体" w:cs="宋体" w:hint="eastAsia"/>
        </w:rPr>
        <w:t>a）光储充检一体化充电站供电变压器宜选用干式低耗节能型变压器，在过负荷、大容量等特殊条件下，可选用油浸式变压器；</w:t>
      </w:r>
    </w:p>
    <w:p w14:paraId="46E246F5" w14:textId="77777777" w:rsidR="0051782D" w:rsidRDefault="00000000">
      <w:pPr>
        <w:pStyle w:val="aff6"/>
        <w:spacing w:before="156" w:after="156"/>
        <w:rPr>
          <w:rFonts w:hAnsi="宋体" w:cs="宋体" w:hint="eastAsia"/>
        </w:rPr>
      </w:pPr>
      <w:r>
        <w:rPr>
          <w:rFonts w:hAnsi="宋体" w:cs="宋体" w:hint="eastAsia"/>
        </w:rPr>
        <w:t>b）光储充检一体化充电站接入10kV电压等级时，供电变压器额定变比宜采用10kV±2×2.5%/0.4kV，联结方式宜采用Dyn11；</w:t>
      </w:r>
    </w:p>
    <w:p w14:paraId="71C8FBB1" w14:textId="77777777" w:rsidR="0051782D" w:rsidRDefault="00000000">
      <w:pPr>
        <w:pStyle w:val="a3"/>
        <w:spacing w:before="156" w:after="156"/>
        <w:ind w:left="0"/>
        <w:outlineLvl w:val="2"/>
        <w:rPr>
          <w:rFonts w:hAnsi="黑体" w:cs="黑体" w:hint="eastAsia"/>
        </w:rPr>
      </w:pPr>
      <w:bookmarkStart w:id="295" w:name="_Toc19392"/>
      <w:bookmarkStart w:id="296" w:name="_Toc30748"/>
      <w:r>
        <w:rPr>
          <w:rFonts w:hAnsi="黑体" w:cs="黑体" w:hint="eastAsia"/>
        </w:rPr>
        <w:t>断路器</w:t>
      </w:r>
      <w:bookmarkEnd w:id="295"/>
      <w:bookmarkEnd w:id="296"/>
    </w:p>
    <w:p w14:paraId="466CBB92" w14:textId="77777777" w:rsidR="0051782D" w:rsidRDefault="00000000">
      <w:pPr>
        <w:pStyle w:val="aff6"/>
        <w:spacing w:before="156" w:after="156"/>
        <w:rPr>
          <w:rFonts w:hAnsi="宋体" w:cs="宋体" w:hint="eastAsia"/>
        </w:rPr>
      </w:pPr>
      <w:r>
        <w:rPr>
          <w:rFonts w:hAnsi="宋体" w:cs="宋体" w:hint="eastAsia"/>
        </w:rPr>
        <w:t>a）光储充检一体化充电站接入配电网的断路器应选择易操作、可闭锁类型，并根据短路电流水平选择设备开断能力，且留有一定裕度；</w:t>
      </w:r>
    </w:p>
    <w:p w14:paraId="5464BD0F" w14:textId="77777777" w:rsidR="0051782D" w:rsidRDefault="00000000">
      <w:pPr>
        <w:pStyle w:val="aff6"/>
        <w:spacing w:before="156" w:after="156"/>
        <w:rPr>
          <w:rFonts w:hAnsi="宋体" w:cs="宋体" w:hint="eastAsia"/>
        </w:rPr>
      </w:pPr>
      <w:r>
        <w:rPr>
          <w:rFonts w:hAnsi="宋体" w:cs="宋体" w:hint="eastAsia"/>
        </w:rPr>
        <w:t>b）光储充检一体化充电站接入10kV电压等级时，配电网断路器宜选用真空断路器；</w:t>
      </w:r>
    </w:p>
    <w:p w14:paraId="37B5CD4E" w14:textId="77777777" w:rsidR="0051782D" w:rsidRDefault="00000000">
      <w:pPr>
        <w:pStyle w:val="aff6"/>
        <w:spacing w:before="156" w:after="156"/>
        <w:rPr>
          <w:rFonts w:hAnsi="宋体" w:cs="宋体" w:hint="eastAsia"/>
        </w:rPr>
      </w:pPr>
      <w:r>
        <w:rPr>
          <w:rFonts w:hAnsi="宋体" w:cs="宋体" w:hint="eastAsia"/>
        </w:rPr>
        <w:t>c）光储充检一体化充电站接入220/380V电压等级时，配电网断路器宜选用微型、塑壳式或框架断路器，断路器额定工作电流630A及以下时可采用普通塑壳断路器；断路器额定工作电流630A以上时宜采用框架断路器。</w:t>
      </w:r>
    </w:p>
    <w:p w14:paraId="5491EF8B" w14:textId="77777777" w:rsidR="0051782D" w:rsidRDefault="00000000">
      <w:pPr>
        <w:pStyle w:val="a3"/>
        <w:spacing w:before="156" w:after="156"/>
        <w:ind w:left="0"/>
        <w:outlineLvl w:val="2"/>
        <w:rPr>
          <w:rFonts w:hAnsi="黑体" w:cs="黑体" w:hint="eastAsia"/>
        </w:rPr>
      </w:pPr>
      <w:bookmarkStart w:id="297" w:name="_Toc13520"/>
      <w:bookmarkStart w:id="298" w:name="_Toc3574"/>
      <w:r>
        <w:rPr>
          <w:rFonts w:hAnsi="黑体" w:cs="黑体" w:hint="eastAsia"/>
        </w:rPr>
        <w:t>供电线路</w:t>
      </w:r>
      <w:bookmarkEnd w:id="297"/>
      <w:bookmarkEnd w:id="298"/>
    </w:p>
    <w:p w14:paraId="7D9F88E6" w14:textId="77777777" w:rsidR="0051782D" w:rsidRDefault="00000000">
      <w:pPr>
        <w:pStyle w:val="aff6"/>
        <w:spacing w:before="156" w:after="156"/>
        <w:rPr>
          <w:rFonts w:hAnsi="宋体" w:cs="宋体" w:hint="eastAsia"/>
        </w:rPr>
      </w:pPr>
      <w:r>
        <w:rPr>
          <w:rFonts w:hAnsi="宋体" w:cs="宋体" w:hint="eastAsia"/>
        </w:rPr>
        <w:t>a）光储充检一体化充电站供电线路在最终规模基础上，按照适度超前原则，应一次选定导线截面等参数，避免多次施工更换；</w:t>
      </w:r>
    </w:p>
    <w:p w14:paraId="6C53E4DA" w14:textId="77777777" w:rsidR="0051782D" w:rsidRDefault="00000000">
      <w:pPr>
        <w:pStyle w:val="aff6"/>
        <w:spacing w:before="156" w:after="156"/>
        <w:rPr>
          <w:rFonts w:ascii="黑体" w:eastAsia="黑体" w:hAnsi="黑体" w:cs="黑体" w:hint="eastAsia"/>
        </w:rPr>
      </w:pPr>
      <w:r>
        <w:rPr>
          <w:rFonts w:hAnsi="宋体" w:cs="宋体" w:hint="eastAsia"/>
        </w:rPr>
        <w:t>b）光储充检一体化充电站供电线路的导线截面按经济电流密度选择，并长期允许发热和机械强度条件进行校核。</w:t>
      </w:r>
    </w:p>
    <w:p w14:paraId="697F5E6D" w14:textId="77777777" w:rsidR="0051782D" w:rsidRDefault="00000000">
      <w:pPr>
        <w:pStyle w:val="a3"/>
        <w:spacing w:before="156" w:after="156"/>
        <w:ind w:left="0"/>
        <w:outlineLvl w:val="2"/>
        <w:rPr>
          <w:rFonts w:hAnsi="黑体" w:cs="黑体" w:hint="eastAsia"/>
        </w:rPr>
      </w:pPr>
      <w:bookmarkStart w:id="299" w:name="_Toc17238"/>
      <w:bookmarkStart w:id="300" w:name="_Toc31026"/>
      <w:r>
        <w:rPr>
          <w:rFonts w:hAnsi="黑体" w:cs="黑体" w:hint="eastAsia"/>
        </w:rPr>
        <w:t>供电电缆</w:t>
      </w:r>
      <w:bookmarkEnd w:id="299"/>
      <w:bookmarkEnd w:id="300"/>
    </w:p>
    <w:p w14:paraId="565676B4" w14:textId="77777777" w:rsidR="0051782D" w:rsidRDefault="00000000">
      <w:pPr>
        <w:pStyle w:val="aff6"/>
        <w:spacing w:before="156" w:after="156"/>
        <w:rPr>
          <w:rFonts w:hAnsi="宋体" w:cs="宋体" w:hint="eastAsia"/>
        </w:rPr>
      </w:pPr>
      <w:r>
        <w:rPr>
          <w:rFonts w:hAnsi="宋体" w:cs="宋体" w:hint="eastAsia"/>
        </w:rPr>
        <w:t>a）光储充检一体化充电站供电电缆在最终规模基础上，按照适度超前原则，应一次配齐电缆管沟等基础设施；</w:t>
      </w:r>
    </w:p>
    <w:p w14:paraId="4E14C1F0" w14:textId="77777777" w:rsidR="0051782D" w:rsidRDefault="00000000">
      <w:pPr>
        <w:pStyle w:val="aff6"/>
        <w:spacing w:before="156" w:after="156"/>
        <w:rPr>
          <w:rFonts w:ascii="黑体" w:eastAsia="黑体" w:hAnsi="黑体" w:cs="黑体" w:hint="eastAsia"/>
        </w:rPr>
      </w:pPr>
      <w:r>
        <w:rPr>
          <w:rFonts w:hAnsi="宋体" w:cs="宋体" w:hint="eastAsia"/>
        </w:rPr>
        <w:t>b）光储充检一体化充电站内电缆原则上应与电力部门电缆分开敷设，并且电力电缆不应和热力管道、输送易燃易爆及可燃气体管道或液体管道敷设在同一管沟内。</w:t>
      </w:r>
    </w:p>
    <w:p w14:paraId="0D60F945" w14:textId="77777777" w:rsidR="0051782D" w:rsidRDefault="00000000">
      <w:pPr>
        <w:pStyle w:val="a1"/>
        <w:ind w:left="0"/>
        <w:outlineLvl w:val="0"/>
        <w:rPr>
          <w:rFonts w:hAnsi="黑体" w:cs="黑体" w:hint="eastAsia"/>
        </w:rPr>
      </w:pPr>
      <w:bookmarkStart w:id="301" w:name="_Toc24639"/>
      <w:bookmarkStart w:id="302" w:name="_Toc2897"/>
      <w:bookmarkStart w:id="303" w:name="_Toc11637"/>
      <w:bookmarkStart w:id="304" w:name="_Toc27992"/>
      <w:bookmarkStart w:id="305" w:name="_Toc4033"/>
      <w:bookmarkStart w:id="306" w:name="_Toc25498"/>
      <w:bookmarkStart w:id="307" w:name="_Toc29830"/>
      <w:r>
        <w:rPr>
          <w:rFonts w:hAnsi="黑体" w:cs="黑体" w:hint="eastAsia"/>
        </w:rPr>
        <w:lastRenderedPageBreak/>
        <w:t>接入配电网二次系统要求</w:t>
      </w:r>
      <w:bookmarkEnd w:id="301"/>
      <w:bookmarkEnd w:id="302"/>
      <w:bookmarkEnd w:id="303"/>
      <w:bookmarkEnd w:id="304"/>
      <w:bookmarkEnd w:id="305"/>
      <w:bookmarkEnd w:id="306"/>
      <w:bookmarkEnd w:id="307"/>
    </w:p>
    <w:p w14:paraId="5C4780D1" w14:textId="77777777" w:rsidR="0051782D" w:rsidRDefault="00000000">
      <w:pPr>
        <w:pStyle w:val="a2"/>
        <w:ind w:left="0"/>
        <w:outlineLvl w:val="1"/>
        <w:rPr>
          <w:rFonts w:hAnsi="黑体" w:cs="黑体" w:hint="eastAsia"/>
        </w:rPr>
      </w:pPr>
      <w:bookmarkStart w:id="308" w:name="_Toc32700"/>
      <w:bookmarkStart w:id="309" w:name="_Toc5393"/>
      <w:bookmarkStart w:id="310" w:name="_Toc14907"/>
      <w:bookmarkStart w:id="311" w:name="_Toc21613"/>
      <w:bookmarkStart w:id="312" w:name="_Toc19715"/>
      <w:bookmarkStart w:id="313" w:name="_Toc27238"/>
      <w:bookmarkStart w:id="314" w:name="_Toc25136"/>
      <w:r>
        <w:rPr>
          <w:rFonts w:hAnsi="黑体" w:cs="黑体" w:hint="eastAsia"/>
        </w:rPr>
        <w:t>一般原则</w:t>
      </w:r>
      <w:bookmarkEnd w:id="308"/>
      <w:bookmarkEnd w:id="309"/>
      <w:bookmarkEnd w:id="310"/>
      <w:bookmarkEnd w:id="311"/>
      <w:bookmarkEnd w:id="312"/>
      <w:bookmarkEnd w:id="313"/>
      <w:bookmarkEnd w:id="314"/>
    </w:p>
    <w:p w14:paraId="3E25A6F8"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光储充检一体化充电站接入配电网的一次系统和二次系统应遵循“同步规划、同步建设、同步运行、同步维护”原则，确保一二次统筹协同。</w:t>
      </w:r>
    </w:p>
    <w:p w14:paraId="45835827"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光储充检一体化充电站应满足所接入配电网的自动化要求，其接入不应影响配电网的可靠供电。</w:t>
      </w:r>
    </w:p>
    <w:p w14:paraId="5AD9A4C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光储充检一体化充电站公共连接点信息接入应遵循可靠、实用、可拓展和经济的原则，根据业务需求接入相关信息系统。接入方式应符合DL/T 2473.1 等并网运行与调控管理规定，满足配电网采集、传输、存储与应用全流程体系架构的要求。</w:t>
      </w:r>
    </w:p>
    <w:p w14:paraId="6A92A97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光储充检一体化充电站接入配电网的数据应遵循国家有关数据安全、隐私保护法律法规，满足全场景网络安全防护体系要求，确保网信安全和数据安全。</w:t>
      </w:r>
    </w:p>
    <w:p w14:paraId="177B8E1A"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光储充检一体化充电站公共连接点的保护配置应与所接入配电网的保护协调配合，符合GB/T 14285、DL/T 584、DL/T 599等要求，并应考虑公共连接点电流倒送、孤岛运行等场景，必要时配置相应的保护功能。。</w:t>
      </w:r>
    </w:p>
    <w:p w14:paraId="7A072F71" w14:textId="77777777" w:rsidR="0051782D" w:rsidRDefault="00000000">
      <w:pPr>
        <w:pStyle w:val="a2"/>
        <w:ind w:left="0"/>
        <w:outlineLvl w:val="1"/>
        <w:rPr>
          <w:rFonts w:hAnsi="黑体" w:cs="黑体" w:hint="eastAsia"/>
        </w:rPr>
      </w:pPr>
      <w:bookmarkStart w:id="315" w:name="_Toc24676"/>
      <w:bookmarkStart w:id="316" w:name="_Toc23531"/>
      <w:bookmarkStart w:id="317" w:name="_Toc15610"/>
      <w:bookmarkStart w:id="318" w:name="_Toc8348"/>
      <w:bookmarkStart w:id="319" w:name="_Toc25310"/>
      <w:bookmarkStart w:id="320" w:name="_Toc7699"/>
      <w:bookmarkStart w:id="321" w:name="_Toc15405"/>
      <w:r>
        <w:rPr>
          <w:rFonts w:hAnsi="黑体" w:cs="黑体" w:hint="eastAsia"/>
        </w:rPr>
        <w:t>感知数据要求</w:t>
      </w:r>
      <w:bookmarkEnd w:id="315"/>
      <w:bookmarkEnd w:id="316"/>
      <w:bookmarkEnd w:id="317"/>
      <w:bookmarkEnd w:id="318"/>
      <w:bookmarkEnd w:id="319"/>
      <w:bookmarkEnd w:id="320"/>
      <w:bookmarkEnd w:id="321"/>
    </w:p>
    <w:p w14:paraId="00B40481"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光储充检一体化充电站的感知数据应符合电网企业数据格式、数据元素、数据命名、数据定义、数据分类等规范。</w:t>
      </w:r>
    </w:p>
    <w:p w14:paraId="151D857C"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光储充检一体化充电站接入配电网的感知数据应遵循统一性、真实性、最优化的原则，明确公共连接点电流、电压、功率、开关状态、开关保护等数据的类型、范围、时效性等要求。</w:t>
      </w:r>
    </w:p>
    <w:p w14:paraId="28969781" w14:textId="77777777" w:rsidR="0051782D" w:rsidRDefault="00000000">
      <w:pPr>
        <w:pStyle w:val="a3"/>
        <w:spacing w:before="156" w:after="156"/>
        <w:ind w:left="0"/>
        <w:rPr>
          <w:rFonts w:hAnsi="黑体" w:cs="黑体" w:hint="eastAsia"/>
        </w:rPr>
      </w:pPr>
      <w:r>
        <w:rPr>
          <w:rFonts w:ascii="宋体" w:eastAsia="宋体" w:hAnsi="宋体" w:cs="宋体" w:hint="eastAsia"/>
        </w:rPr>
        <w:t>光储充检一体化充电站应根据其充电站等级和业务需求，适当扩展光伏发电量、储能运行状况、充（换）电负荷、电动汽车电池评估、事件记录等数据感知、采集、交互的范围，支撑多层级电网调度运行管理。</w:t>
      </w:r>
    </w:p>
    <w:p w14:paraId="343EEA59" w14:textId="77777777" w:rsidR="0051782D" w:rsidRDefault="00000000">
      <w:pPr>
        <w:pStyle w:val="a2"/>
        <w:ind w:left="0"/>
        <w:outlineLvl w:val="1"/>
        <w:rPr>
          <w:rFonts w:hAnsi="黑体" w:cs="黑体" w:hint="eastAsia"/>
        </w:rPr>
      </w:pPr>
      <w:bookmarkStart w:id="322" w:name="_Toc21632"/>
      <w:bookmarkStart w:id="323" w:name="_Toc8792"/>
      <w:bookmarkStart w:id="324" w:name="_Toc23942"/>
      <w:bookmarkStart w:id="325" w:name="_Toc19358"/>
      <w:bookmarkStart w:id="326" w:name="_Toc6455"/>
      <w:bookmarkStart w:id="327" w:name="_Toc21356"/>
      <w:bookmarkStart w:id="328" w:name="_Toc24417"/>
      <w:r>
        <w:rPr>
          <w:rFonts w:hAnsi="黑体" w:cs="黑体" w:hint="eastAsia"/>
        </w:rPr>
        <w:t>感知终端部署</w:t>
      </w:r>
      <w:bookmarkEnd w:id="322"/>
      <w:bookmarkEnd w:id="323"/>
      <w:r>
        <w:rPr>
          <w:rFonts w:hAnsi="黑体" w:cs="黑体" w:hint="eastAsia"/>
        </w:rPr>
        <w:t xml:space="preserve"> </w:t>
      </w:r>
      <w:bookmarkEnd w:id="324"/>
      <w:bookmarkEnd w:id="325"/>
      <w:bookmarkEnd w:id="326"/>
      <w:bookmarkEnd w:id="327"/>
      <w:bookmarkEnd w:id="328"/>
    </w:p>
    <w:p w14:paraId="6CB1162F" w14:textId="77777777" w:rsidR="0051782D" w:rsidRDefault="00000000">
      <w:pPr>
        <w:pStyle w:val="a3"/>
        <w:spacing w:before="156" w:after="156"/>
        <w:ind w:left="0"/>
        <w:rPr>
          <w:rFonts w:hAnsi="黑体" w:cs="黑体" w:hint="eastAsia"/>
          <w:color w:val="000000"/>
          <w:kern w:val="2"/>
        </w:rPr>
      </w:pPr>
      <w:r>
        <w:rPr>
          <w:rFonts w:ascii="宋体" w:eastAsia="宋体" w:hAnsi="宋体" w:cs="宋体" w:hint="eastAsia"/>
        </w:rPr>
        <w:t>光储充检一体化充电站公共连接点</w:t>
      </w:r>
      <w:r>
        <w:rPr>
          <w:rFonts w:ascii="宋体" w:eastAsia="宋体" w:hAnsi="宋体" w:cs="宋体" w:hint="eastAsia"/>
          <w:szCs w:val="22"/>
        </w:rPr>
        <w:t xml:space="preserve">应在满足各类数据采集需求基础上，按照经济、高效原则，充分利用现有设备，支撑感知设备优化布局。 </w:t>
      </w:r>
    </w:p>
    <w:p w14:paraId="60ACF3F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光储充检一体化充电站公共连接点应装设电能质量监测及治理设备，实时监测公共连接点的功率因素、谐波、电压波动等数据。</w:t>
      </w:r>
    </w:p>
    <w:p w14:paraId="6617EF5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光储充检一体化充电站接入配电网的电能量采集终端应符合电力用户用电信息采集要求。</w:t>
      </w:r>
    </w:p>
    <w:p w14:paraId="3F46E288"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光储充检一体化充电站配置的感知终端应采集光伏发电数据、储能运行数据、充（换）电负荷数据、电池检测数据等，支撑充电站与负荷聚合商、电网的数据交互。</w:t>
      </w:r>
    </w:p>
    <w:p w14:paraId="1D6D5F23" w14:textId="77777777" w:rsidR="0051782D" w:rsidRDefault="00000000">
      <w:pPr>
        <w:pStyle w:val="a2"/>
        <w:ind w:left="0"/>
        <w:outlineLvl w:val="1"/>
        <w:rPr>
          <w:rFonts w:hAnsi="黑体" w:cs="黑体" w:hint="eastAsia"/>
        </w:rPr>
      </w:pPr>
      <w:bookmarkStart w:id="329" w:name="_Toc4912"/>
      <w:bookmarkStart w:id="330" w:name="_Toc13222"/>
      <w:bookmarkStart w:id="331" w:name="_Toc15713"/>
      <w:bookmarkStart w:id="332" w:name="_Toc9399"/>
      <w:bookmarkStart w:id="333" w:name="_Toc14258"/>
      <w:bookmarkStart w:id="334" w:name="_Toc7959"/>
      <w:bookmarkStart w:id="335" w:name="_Toc25228"/>
      <w:r>
        <w:rPr>
          <w:rFonts w:hAnsi="黑体" w:cs="黑体" w:hint="eastAsia"/>
        </w:rPr>
        <w:lastRenderedPageBreak/>
        <w:t>通信及自动化</w:t>
      </w:r>
      <w:bookmarkEnd w:id="329"/>
      <w:bookmarkEnd w:id="330"/>
      <w:bookmarkEnd w:id="331"/>
      <w:bookmarkEnd w:id="332"/>
      <w:bookmarkEnd w:id="333"/>
      <w:bookmarkEnd w:id="334"/>
      <w:bookmarkEnd w:id="335"/>
    </w:p>
    <w:p w14:paraId="07E7927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光储充检一体化充电站应根据充电站充电站等级、最大接入电量、电压等级、电网调度运行管理业务需求、感知数据需求等，明确单环网/双环网、单通道/双通道的通信传输方式。</w:t>
      </w:r>
    </w:p>
    <w:p w14:paraId="59EB97E8"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光储充检一体化充电站应结合当地配电网通信网建设现状及整体规划，根据充电站接入方案，充分考虑信息传输的可靠性和安全性要求，兼顾投资的经济性和运行的灵活性，因地制宜选择下列通信方式：</w:t>
      </w:r>
    </w:p>
    <w:p w14:paraId="3E2F7899" w14:textId="77777777" w:rsidR="0051782D" w:rsidRDefault="00000000">
      <w:pPr>
        <w:pStyle w:val="aff6"/>
        <w:spacing w:before="156" w:after="156"/>
        <w:rPr>
          <w:rFonts w:hAnsi="宋体" w:cs="宋体" w:hint="eastAsia"/>
        </w:rPr>
      </w:pPr>
      <w:r>
        <w:rPr>
          <w:rFonts w:hAnsi="宋体" w:cs="宋体" w:hint="eastAsia"/>
        </w:rPr>
        <w:t>a）采用光纤通信方式。当光储充检一体化充电站属于重要电力用户、具备敷设光缆条件，可选择以太网无源光网络或工业以太网技术组网；</w:t>
      </w:r>
    </w:p>
    <w:p w14:paraId="3E324CD7" w14:textId="77777777" w:rsidR="0051782D" w:rsidRDefault="00000000">
      <w:pPr>
        <w:pStyle w:val="aff6"/>
        <w:spacing w:before="156" w:after="156"/>
        <w:rPr>
          <w:rFonts w:hAnsi="宋体" w:cs="宋体" w:hint="eastAsia"/>
        </w:rPr>
      </w:pPr>
      <w:r>
        <w:rPr>
          <w:rFonts w:hAnsi="宋体" w:cs="宋体" w:hint="eastAsia"/>
        </w:rPr>
        <w:t>b）采用电力线载波通信方式。当光储充检一体化充电站不具备敷设光缆条件或敷设光缆成本较高时，可选用电力线载波通信方式作为光纤通信的有效补充，且优先选择可靠性较高的宽带电力线载波技术；</w:t>
      </w:r>
    </w:p>
    <w:p w14:paraId="2ABAA3FB" w14:textId="77777777" w:rsidR="0051782D" w:rsidRDefault="00000000">
      <w:pPr>
        <w:pStyle w:val="aff6"/>
        <w:spacing w:before="156" w:after="156"/>
        <w:rPr>
          <w:rFonts w:hAnsi="宋体" w:cs="宋体" w:hint="eastAsia"/>
        </w:rPr>
      </w:pPr>
      <w:r>
        <w:rPr>
          <w:rFonts w:hAnsi="宋体" w:cs="宋体" w:hint="eastAsia"/>
        </w:rPr>
        <w:t>c）采用无线通信方式。当光储充检一体化充电站属于</w:t>
      </w:r>
      <w:r>
        <w:rPr>
          <w:rFonts w:hAnsi="宋体" w:cs="宋体" w:hint="eastAsia"/>
          <w:szCs w:val="21"/>
        </w:rPr>
        <w:t>普通电力用户、地处偏远区域，</w:t>
      </w:r>
      <w:r>
        <w:rPr>
          <w:rFonts w:hAnsi="宋体" w:cs="宋体" w:hint="eastAsia"/>
        </w:rPr>
        <w:t>可采用无线通信方式。采用无线专网应采取相应的安全措施；采用无线公网应按照GB/T 22239的规定采取可靠的安全隔离和认证措施。</w:t>
      </w:r>
    </w:p>
    <w:p w14:paraId="55319FC9"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光储充检一体化充电站通信安全防护措施应符合电力通信网信息安全的要求。</w:t>
      </w:r>
    </w:p>
    <w:p w14:paraId="6BCBC66C"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光储充检一体化充电站的光伏发电量、储能运行状况、充（换）电负荷、电动汽车电池评估、事件记录等运行信息，应根据接入电压等级，明确数据上传系统：</w:t>
      </w:r>
    </w:p>
    <w:p w14:paraId="0388065D" w14:textId="77777777" w:rsidR="0051782D" w:rsidRDefault="00000000">
      <w:pPr>
        <w:pStyle w:val="aff6"/>
        <w:numPr>
          <w:ilvl w:val="0"/>
          <w:numId w:val="11"/>
        </w:numPr>
        <w:rPr>
          <w:rFonts w:hAnsi="宋体" w:cs="宋体" w:hint="eastAsia"/>
        </w:rPr>
      </w:pPr>
      <w:r>
        <w:rPr>
          <w:rFonts w:hint="eastAsia"/>
        </w:rPr>
        <w:t>当</w:t>
      </w:r>
      <w:r>
        <w:rPr>
          <w:rFonts w:hAnsi="宋体" w:cs="宋体" w:hint="eastAsia"/>
        </w:rPr>
        <w:t>光储充检一体化充电站接入10kV电压等级时，应通过配电终端直接接入配电自动化系统；</w:t>
      </w:r>
    </w:p>
    <w:p w14:paraId="1468CB45" w14:textId="77777777" w:rsidR="0051782D" w:rsidRDefault="00000000">
      <w:pPr>
        <w:pStyle w:val="aff6"/>
        <w:numPr>
          <w:ilvl w:val="0"/>
          <w:numId w:val="11"/>
        </w:numPr>
        <w:rPr>
          <w:rFonts w:hAnsi="宋体" w:cs="宋体" w:hint="eastAsia"/>
        </w:rPr>
      </w:pPr>
      <w:r>
        <w:rPr>
          <w:rFonts w:hint="eastAsia"/>
        </w:rPr>
        <w:t>当</w:t>
      </w:r>
      <w:r>
        <w:rPr>
          <w:rFonts w:hAnsi="宋体" w:cs="宋体" w:hint="eastAsia"/>
        </w:rPr>
        <w:t>光储充检一体化充电站接入220/380V电压等级时，应通过用电信息采集系统接入新型电力负荷管理平台，再上传至电网调度运行管理相关信息系统。</w:t>
      </w:r>
    </w:p>
    <w:p w14:paraId="134AD35C" w14:textId="77777777" w:rsidR="0051782D" w:rsidRDefault="00000000">
      <w:pPr>
        <w:pStyle w:val="a2"/>
        <w:ind w:left="0"/>
        <w:outlineLvl w:val="1"/>
        <w:rPr>
          <w:rFonts w:hAnsi="黑体" w:cs="黑体" w:hint="eastAsia"/>
        </w:rPr>
      </w:pPr>
      <w:bookmarkStart w:id="336" w:name="_Toc13699"/>
      <w:bookmarkStart w:id="337" w:name="_Toc31359"/>
      <w:bookmarkStart w:id="338" w:name="_Toc26578"/>
      <w:bookmarkStart w:id="339" w:name="_Toc7750"/>
      <w:bookmarkStart w:id="340" w:name="_Toc17879"/>
      <w:bookmarkStart w:id="341" w:name="_Toc3628"/>
      <w:bookmarkStart w:id="342" w:name="_Toc31812"/>
      <w:r>
        <w:rPr>
          <w:rFonts w:hAnsi="黑体" w:cs="黑体" w:hint="eastAsia"/>
        </w:rPr>
        <w:t>平台交互</w:t>
      </w:r>
      <w:bookmarkEnd w:id="336"/>
      <w:bookmarkEnd w:id="337"/>
      <w:bookmarkEnd w:id="338"/>
      <w:bookmarkEnd w:id="339"/>
      <w:bookmarkEnd w:id="340"/>
      <w:bookmarkEnd w:id="341"/>
      <w:bookmarkEnd w:id="342"/>
    </w:p>
    <w:p w14:paraId="389B3A3A"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光储充检一体化充电站应具有统一的站内能量管理系统，负责内部能量管理与外部数据交互。</w:t>
      </w:r>
    </w:p>
    <w:p w14:paraId="361599B0"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光储充检一体化充电站应根据业务需求，在保证数据安全、数据合规等条件下，按需开展平台/系统联接，支撑数据高效交互。</w:t>
      </w:r>
    </w:p>
    <w:p w14:paraId="75B5CDE0" w14:textId="77777777" w:rsidR="0051782D" w:rsidRDefault="00000000">
      <w:pPr>
        <w:pStyle w:val="a3"/>
        <w:spacing w:before="156" w:after="156"/>
        <w:ind w:left="0"/>
        <w:rPr>
          <w:rFonts w:hAnsi="黑体" w:cs="黑体" w:hint="eastAsia"/>
        </w:rPr>
      </w:pPr>
      <w:r>
        <w:rPr>
          <w:rFonts w:ascii="宋体" w:eastAsia="宋体" w:hAnsi="宋体" w:cs="宋体" w:hint="eastAsia"/>
        </w:rPr>
        <w:t>光储充检一体化充电站应遵循电网调度运行管理，能够统一接收并响应电网调度运行管理相关信息系统的调节指令，具备对储能充放电行为、电动汽车充（换）电行为的调节能力，拥有信息处理、运行监控、业务管理功能。</w:t>
      </w:r>
    </w:p>
    <w:p w14:paraId="5AA7FB84" w14:textId="77777777" w:rsidR="0051782D" w:rsidRDefault="00000000">
      <w:pPr>
        <w:pStyle w:val="a3"/>
        <w:spacing w:before="156" w:after="156"/>
        <w:ind w:left="0"/>
        <w:rPr>
          <w:rFonts w:hAnsi="黑体" w:cs="黑体" w:hint="eastAsia"/>
        </w:rPr>
      </w:pPr>
      <w:r>
        <w:rPr>
          <w:rFonts w:ascii="宋体" w:eastAsia="宋体" w:hAnsi="宋体" w:cs="宋体" w:hint="eastAsia"/>
        </w:rPr>
        <w:t>光储充检一体化充电站应遵循GB/T 44130.3的要求，具备充电桩可利用情况、电动汽车实时充电情况、动力电池在线检测等服务交互能力。</w:t>
      </w:r>
    </w:p>
    <w:p w14:paraId="7968DB94" w14:textId="77777777" w:rsidR="0051782D" w:rsidRDefault="00000000">
      <w:pPr>
        <w:pStyle w:val="a3"/>
        <w:spacing w:before="156" w:after="156"/>
        <w:ind w:left="0"/>
        <w:rPr>
          <w:rFonts w:hAnsi="黑体" w:cs="黑体" w:hint="eastAsia"/>
        </w:rPr>
      </w:pPr>
      <w:r>
        <w:rPr>
          <w:rFonts w:ascii="宋体" w:eastAsia="宋体" w:hAnsi="宋体" w:cs="宋体" w:hint="eastAsia"/>
        </w:rPr>
        <w:lastRenderedPageBreak/>
        <w:t>光储充检一体化充电站的站内能量管理系统应具备并离网切换与自主决策能力，符合 GB/T 44638的相关要求。</w:t>
      </w:r>
    </w:p>
    <w:p w14:paraId="46BCBACC" w14:textId="77777777" w:rsidR="0051782D" w:rsidRDefault="00000000">
      <w:pPr>
        <w:pStyle w:val="a2"/>
        <w:ind w:left="0"/>
        <w:outlineLvl w:val="1"/>
        <w:rPr>
          <w:rFonts w:hAnsi="黑体" w:cs="黑体" w:hint="eastAsia"/>
        </w:rPr>
      </w:pPr>
      <w:bookmarkStart w:id="343" w:name="_Toc10000"/>
      <w:bookmarkStart w:id="344" w:name="_Toc11415"/>
      <w:bookmarkStart w:id="345" w:name="_Toc5005"/>
      <w:bookmarkStart w:id="346" w:name="_Toc17145"/>
      <w:bookmarkStart w:id="347" w:name="_Toc10066"/>
      <w:bookmarkStart w:id="348" w:name="_Toc26349"/>
      <w:bookmarkStart w:id="349" w:name="_Toc6454"/>
      <w:r>
        <w:rPr>
          <w:rFonts w:hAnsi="黑体" w:cs="黑体" w:hint="eastAsia"/>
        </w:rPr>
        <w:t>数据安全</w:t>
      </w:r>
      <w:bookmarkEnd w:id="343"/>
      <w:bookmarkEnd w:id="344"/>
      <w:bookmarkEnd w:id="345"/>
      <w:bookmarkEnd w:id="346"/>
      <w:bookmarkEnd w:id="347"/>
      <w:bookmarkEnd w:id="348"/>
      <w:bookmarkEnd w:id="349"/>
    </w:p>
    <w:p w14:paraId="5156EBAA"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光储充检一体化充电站接入配电网的数据安全防护应符合GB/T 22239等规定，对光伏、储能、充电桩、电池检测等子系统的数据建立分级保护制度,并明确各等级的保护措施和访问权限。</w:t>
      </w:r>
    </w:p>
    <w:p w14:paraId="0E9BC482"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光储充检一体化充电站接入配电网的感知数据应明确数据的目的和用途，保证数据采集的合规性、正当性。</w:t>
      </w:r>
    </w:p>
    <w:p w14:paraId="08CE6A59"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光储充检一体化充电站接入配电网的数据传输链路应按需使用身份鉴别等技术，防止传输过程的数据泄露。</w:t>
      </w:r>
    </w:p>
    <w:p w14:paraId="71D297D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光储充检一体化充电站接入配电网的数据处理应根据业务需求，差异化制定敏感数据脱敏要求，采用适当的安全控制措施，防范数据挖掘和分析过程中核心、重要数据泄露的安全风险。具体可参考表A.2执行。</w:t>
      </w:r>
    </w:p>
    <w:p w14:paraId="3719210D" w14:textId="77777777" w:rsidR="0051782D" w:rsidRDefault="00000000">
      <w:pPr>
        <w:pStyle w:val="ad"/>
        <w:tabs>
          <w:tab w:val="clear" w:pos="180"/>
        </w:tabs>
        <w:spacing w:before="156" w:after="156"/>
        <w:ind w:left="567" w:hanging="567"/>
      </w:pPr>
      <w:r>
        <w:rPr>
          <w:rFonts w:hint="eastAsia"/>
        </w:rPr>
        <w:t>光储充检一体化充电站接入配电网的数据脱敏规则</w:t>
      </w:r>
    </w:p>
    <w:tbl>
      <w:tblPr>
        <w:tblStyle w:val="aff2"/>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4606"/>
        <w:gridCol w:w="3210"/>
      </w:tblGrid>
      <w:tr w:rsidR="0051782D" w14:paraId="7D41CBC7" w14:textId="77777777">
        <w:trPr>
          <w:trHeight w:val="90"/>
          <w:jc w:val="center"/>
        </w:trPr>
        <w:tc>
          <w:tcPr>
            <w:tcW w:w="1755" w:type="dxa"/>
            <w:vAlign w:val="center"/>
          </w:tcPr>
          <w:p w14:paraId="5A15BDDF"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数据类型</w:t>
            </w:r>
          </w:p>
        </w:tc>
        <w:tc>
          <w:tcPr>
            <w:tcW w:w="4606" w:type="dxa"/>
            <w:vAlign w:val="center"/>
          </w:tcPr>
          <w:p w14:paraId="0F21FF2A"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脱敏要求</w:t>
            </w:r>
          </w:p>
        </w:tc>
        <w:tc>
          <w:tcPr>
            <w:tcW w:w="3210" w:type="dxa"/>
            <w:vAlign w:val="center"/>
          </w:tcPr>
          <w:p w14:paraId="264697FF"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安全措施</w:t>
            </w:r>
          </w:p>
        </w:tc>
      </w:tr>
      <w:tr w:rsidR="0051782D" w14:paraId="7FA6301A" w14:textId="77777777">
        <w:trPr>
          <w:jc w:val="center"/>
        </w:trPr>
        <w:tc>
          <w:tcPr>
            <w:tcW w:w="1755" w:type="dxa"/>
            <w:vAlign w:val="center"/>
          </w:tcPr>
          <w:p w14:paraId="60338FB2"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用户身份信息</w:t>
            </w:r>
          </w:p>
        </w:tc>
        <w:tc>
          <w:tcPr>
            <w:tcW w:w="4606" w:type="dxa"/>
            <w:vAlign w:val="center"/>
          </w:tcPr>
          <w:p w14:paraId="351C89FD"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姓名/手机号部分掩码（如138****1234）</w:t>
            </w:r>
          </w:p>
        </w:tc>
        <w:tc>
          <w:tcPr>
            <w:tcW w:w="3210" w:type="dxa"/>
            <w:vAlign w:val="center"/>
          </w:tcPr>
          <w:p w14:paraId="22E67F16"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存储加密（AES-256）</w:t>
            </w:r>
          </w:p>
        </w:tc>
      </w:tr>
      <w:tr w:rsidR="0051782D" w14:paraId="302DD7D3" w14:textId="77777777">
        <w:trPr>
          <w:jc w:val="center"/>
        </w:trPr>
        <w:tc>
          <w:tcPr>
            <w:tcW w:w="1755" w:type="dxa"/>
            <w:vAlign w:val="center"/>
          </w:tcPr>
          <w:p w14:paraId="25904FBB"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电池健康数据</w:t>
            </w:r>
          </w:p>
        </w:tc>
        <w:tc>
          <w:tcPr>
            <w:tcW w:w="4606" w:type="dxa"/>
            <w:vAlign w:val="center"/>
          </w:tcPr>
          <w:p w14:paraId="2C4F7D32"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隐藏电池序列号，保留容量衰减率</w:t>
            </w:r>
          </w:p>
        </w:tc>
        <w:tc>
          <w:tcPr>
            <w:tcW w:w="3210" w:type="dxa"/>
            <w:vAlign w:val="center"/>
          </w:tcPr>
          <w:p w14:paraId="0082ACDA"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访问角色隔离（RBAC模型）</w:t>
            </w:r>
          </w:p>
        </w:tc>
      </w:tr>
      <w:tr w:rsidR="0051782D" w14:paraId="5798FF40" w14:textId="77777777">
        <w:trPr>
          <w:jc w:val="center"/>
        </w:trPr>
        <w:tc>
          <w:tcPr>
            <w:tcW w:w="1755" w:type="dxa"/>
            <w:vAlign w:val="center"/>
          </w:tcPr>
          <w:p w14:paraId="69BD8F12"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电网拓扑信息</w:t>
            </w:r>
          </w:p>
        </w:tc>
        <w:tc>
          <w:tcPr>
            <w:tcW w:w="4606" w:type="dxa"/>
            <w:vAlign w:val="center"/>
          </w:tcPr>
          <w:p w14:paraId="28268D94"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模糊化节点地理位置坐标</w:t>
            </w:r>
          </w:p>
        </w:tc>
        <w:tc>
          <w:tcPr>
            <w:tcW w:w="3210" w:type="dxa"/>
            <w:vAlign w:val="center"/>
          </w:tcPr>
          <w:p w14:paraId="6A123570" w14:textId="77777777" w:rsidR="0051782D" w:rsidRDefault="00000000">
            <w:pPr>
              <w:numPr>
                <w:ilvl w:val="255"/>
                <w:numId w:val="0"/>
              </w:numPr>
              <w:spacing w:before="30" w:after="90"/>
              <w:ind w:left="-121"/>
              <w:jc w:val="center"/>
              <w:rPr>
                <w:rFonts w:ascii="宋体"/>
                <w:sz w:val="18"/>
              </w:rPr>
            </w:pPr>
            <w:r>
              <w:rPr>
                <w:rFonts w:ascii="宋体" w:hAnsi="宋体"/>
                <w:bCs/>
                <w:color w:val="000000"/>
                <w:sz w:val="18"/>
              </w:rPr>
              <w:t>操作审计日志留存≥6个月</w:t>
            </w:r>
          </w:p>
        </w:tc>
      </w:tr>
    </w:tbl>
    <w:p w14:paraId="238513DE" w14:textId="77777777" w:rsidR="0051782D" w:rsidRDefault="0051782D">
      <w:pPr>
        <w:pStyle w:val="aff6"/>
      </w:pPr>
    </w:p>
    <w:p w14:paraId="4357E86A"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光储充检一体化充电站接入配电网的数据共享应制定相关数据共享审批流程，采用数据加密、脱敏、专用通道等措施。</w:t>
      </w:r>
    </w:p>
    <w:p w14:paraId="1E7C104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光储充检一体化充电站接入配电网的数据销毁应制定数据销毁安全策略和操作规程，明确销毁对象和销毁范围，记录销毁过程。</w:t>
      </w:r>
    </w:p>
    <w:p w14:paraId="1888A772" w14:textId="77777777" w:rsidR="0051782D" w:rsidRDefault="00000000">
      <w:pPr>
        <w:pStyle w:val="a2"/>
        <w:ind w:left="0"/>
        <w:outlineLvl w:val="1"/>
        <w:rPr>
          <w:rFonts w:hAnsi="黑体" w:cs="黑体" w:hint="eastAsia"/>
        </w:rPr>
      </w:pPr>
      <w:bookmarkStart w:id="350" w:name="_Toc29615"/>
      <w:bookmarkStart w:id="351" w:name="_Toc18249"/>
      <w:bookmarkStart w:id="352" w:name="_Toc14497"/>
      <w:bookmarkStart w:id="353" w:name="_Toc11397"/>
      <w:bookmarkStart w:id="354" w:name="_Toc11471"/>
      <w:bookmarkStart w:id="355" w:name="_Toc21796"/>
      <w:bookmarkStart w:id="356" w:name="_Toc526"/>
      <w:r>
        <w:rPr>
          <w:rFonts w:hAnsi="黑体" w:cs="黑体" w:hint="eastAsia"/>
        </w:rPr>
        <w:t>保护</w:t>
      </w:r>
      <w:bookmarkEnd w:id="350"/>
      <w:bookmarkEnd w:id="351"/>
      <w:bookmarkEnd w:id="352"/>
      <w:bookmarkEnd w:id="353"/>
      <w:bookmarkEnd w:id="354"/>
      <w:bookmarkEnd w:id="355"/>
      <w:bookmarkEnd w:id="356"/>
    </w:p>
    <w:p w14:paraId="4D8C705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光储充检一体化充电站接入10kV电压等级时，公共连接点所在线路断路器应配置电流速断保护与方向过流保护，根据运行方式确定保护动作方向指向，接地保护应根据10kV系统接地方式配置，满足GB/T 14285的要求。同时还应具备防孤岛保护，支撑过压、高频、低频等保护应用，且与光伏逆变器、储能逆变器等的频率及电压保护控制要求相适应。具体可参考表A.3执行。</w:t>
      </w:r>
    </w:p>
    <w:p w14:paraId="1FBFA995" w14:textId="77777777" w:rsidR="0051782D" w:rsidRDefault="00000000">
      <w:pPr>
        <w:pStyle w:val="ad"/>
        <w:tabs>
          <w:tab w:val="clear" w:pos="180"/>
        </w:tabs>
        <w:spacing w:before="156" w:after="156"/>
        <w:ind w:left="567" w:hanging="567"/>
        <w:outlineLvl w:val="2"/>
      </w:pPr>
      <w:bookmarkStart w:id="357" w:name="_Toc24155"/>
      <w:bookmarkStart w:id="358" w:name="_Toc21924"/>
      <w:r>
        <w:rPr>
          <w:rFonts w:hint="eastAsia"/>
        </w:rPr>
        <w:t>光储充检一体化充电站接入10kV配电网保护配置要求</w:t>
      </w:r>
      <w:bookmarkEnd w:id="357"/>
      <w:bookmarkEnd w:id="358"/>
    </w:p>
    <w:tbl>
      <w:tblPr>
        <w:tblW w:w="93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0" w:type="dxa"/>
          <w:left w:w="10" w:type="dxa"/>
          <w:bottom w:w="10" w:type="dxa"/>
          <w:right w:w="10" w:type="dxa"/>
        </w:tblCellMar>
        <w:tblLook w:val="04A0" w:firstRow="1" w:lastRow="0" w:firstColumn="1" w:lastColumn="0" w:noHBand="0" w:noVBand="1"/>
      </w:tblPr>
      <w:tblGrid>
        <w:gridCol w:w="1394"/>
        <w:gridCol w:w="7981"/>
      </w:tblGrid>
      <w:tr w:rsidR="0051782D" w14:paraId="09981D80" w14:textId="77777777">
        <w:trPr>
          <w:trHeight w:val="90"/>
        </w:trPr>
        <w:tc>
          <w:tcPr>
            <w:tcW w:w="1394" w:type="dxa"/>
            <w:tcBorders>
              <w:top w:val="single" w:sz="2" w:space="0" w:color="808080"/>
              <w:left w:val="single" w:sz="2" w:space="0" w:color="808080"/>
              <w:bottom w:val="single" w:sz="2" w:space="0" w:color="808080"/>
              <w:right w:val="single" w:sz="2" w:space="0" w:color="808080"/>
            </w:tcBorders>
            <w:vAlign w:val="center"/>
          </w:tcPr>
          <w:p w14:paraId="16D96E08"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lastRenderedPageBreak/>
              <w:t>保护功能</w:t>
            </w:r>
          </w:p>
        </w:tc>
        <w:tc>
          <w:tcPr>
            <w:tcW w:w="7981" w:type="dxa"/>
            <w:tcBorders>
              <w:top w:val="single" w:sz="2" w:space="0" w:color="808080"/>
              <w:left w:val="single" w:sz="2" w:space="0" w:color="808080"/>
              <w:bottom w:val="single" w:sz="2" w:space="0" w:color="808080"/>
              <w:right w:val="single" w:sz="2" w:space="0" w:color="808080"/>
            </w:tcBorders>
            <w:vAlign w:val="center"/>
          </w:tcPr>
          <w:p w14:paraId="2E5EE586"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技术要点</w:t>
            </w:r>
          </w:p>
        </w:tc>
      </w:tr>
      <w:tr w:rsidR="0051782D" w14:paraId="3C584BB9" w14:textId="77777777">
        <w:trPr>
          <w:trHeight w:val="93"/>
        </w:trPr>
        <w:tc>
          <w:tcPr>
            <w:tcW w:w="1394" w:type="dxa"/>
            <w:tcBorders>
              <w:top w:val="single" w:sz="2" w:space="0" w:color="808080"/>
              <w:left w:val="single" w:sz="2" w:space="0" w:color="808080"/>
              <w:bottom w:val="single" w:sz="2" w:space="0" w:color="808080"/>
              <w:right w:val="single" w:sz="2" w:space="0" w:color="808080"/>
            </w:tcBorders>
            <w:vAlign w:val="center"/>
          </w:tcPr>
          <w:p w14:paraId="2BB0667B"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电流速断保护</w:t>
            </w:r>
          </w:p>
        </w:tc>
        <w:tc>
          <w:tcPr>
            <w:tcW w:w="7981" w:type="dxa"/>
            <w:tcBorders>
              <w:top w:val="single" w:sz="2" w:space="0" w:color="808080"/>
              <w:left w:val="single" w:sz="2" w:space="0" w:color="808080"/>
              <w:bottom w:val="single" w:sz="2" w:space="0" w:color="808080"/>
              <w:right w:val="single" w:sz="2" w:space="0" w:color="808080"/>
            </w:tcBorders>
            <w:vAlign w:val="center"/>
          </w:tcPr>
          <w:p w14:paraId="29585241"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动作时间≤60ms，按最小运行方式下母线三相短路电流整定，配合差动保护范围</w:t>
            </w:r>
          </w:p>
        </w:tc>
      </w:tr>
      <w:tr w:rsidR="0051782D" w14:paraId="1632E811" w14:textId="77777777">
        <w:trPr>
          <w:trHeight w:val="93"/>
        </w:trPr>
        <w:tc>
          <w:tcPr>
            <w:tcW w:w="1394" w:type="dxa"/>
            <w:tcBorders>
              <w:top w:val="single" w:sz="2" w:space="0" w:color="808080"/>
              <w:left w:val="single" w:sz="2" w:space="0" w:color="808080"/>
              <w:bottom w:val="single" w:sz="2" w:space="0" w:color="808080"/>
              <w:right w:val="single" w:sz="2" w:space="0" w:color="808080"/>
            </w:tcBorders>
            <w:vAlign w:val="center"/>
          </w:tcPr>
          <w:p w14:paraId="225DD652"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方向过流保护</w:t>
            </w:r>
          </w:p>
        </w:tc>
        <w:tc>
          <w:tcPr>
            <w:tcW w:w="7981" w:type="dxa"/>
            <w:tcBorders>
              <w:top w:val="single" w:sz="2" w:space="0" w:color="808080"/>
              <w:left w:val="single" w:sz="2" w:space="0" w:color="808080"/>
              <w:bottom w:val="single" w:sz="2" w:space="0" w:color="808080"/>
              <w:right w:val="single" w:sz="2" w:space="0" w:color="808080"/>
            </w:tcBorders>
            <w:vAlign w:val="center"/>
          </w:tcPr>
          <w:p w14:paraId="04F3C0AA"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动作方向指向充电站侧，灵敏度校验覆盖线路末端单相接地故障（灵敏度系数≥1.5）</w:t>
            </w:r>
          </w:p>
        </w:tc>
      </w:tr>
      <w:tr w:rsidR="0051782D" w14:paraId="03651FC9" w14:textId="77777777">
        <w:trPr>
          <w:trHeight w:val="114"/>
        </w:trPr>
        <w:tc>
          <w:tcPr>
            <w:tcW w:w="1394" w:type="dxa"/>
            <w:tcBorders>
              <w:top w:val="single" w:sz="2" w:space="0" w:color="808080"/>
              <w:left w:val="single" w:sz="2" w:space="0" w:color="808080"/>
              <w:bottom w:val="single" w:sz="2" w:space="0" w:color="808080"/>
              <w:right w:val="single" w:sz="2" w:space="0" w:color="808080"/>
            </w:tcBorders>
            <w:vAlign w:val="center"/>
          </w:tcPr>
          <w:p w14:paraId="39FD9165"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接地保护</w:t>
            </w:r>
          </w:p>
        </w:tc>
        <w:tc>
          <w:tcPr>
            <w:tcW w:w="7981" w:type="dxa"/>
            <w:tcBorders>
              <w:top w:val="single" w:sz="2" w:space="0" w:color="808080"/>
              <w:left w:val="single" w:sz="2" w:space="0" w:color="808080"/>
              <w:bottom w:val="single" w:sz="2" w:space="0" w:color="808080"/>
              <w:right w:val="single" w:sz="2" w:space="0" w:color="808080"/>
            </w:tcBorders>
            <w:vAlign w:val="center"/>
          </w:tcPr>
          <w:p w14:paraId="4FBF9287"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中性点不接地系统：配置零序电压保护（3U0≥25V，延时0.5s）</w:t>
            </w:r>
            <w:r>
              <w:rPr>
                <w:rFonts w:ascii="宋体" w:hAnsi="宋体" w:hint="eastAsia"/>
                <w:bCs/>
                <w:color w:val="000000"/>
                <w:sz w:val="18"/>
                <w:szCs w:val="18"/>
              </w:rPr>
              <w:t>；</w:t>
            </w:r>
            <w:r>
              <w:rPr>
                <w:rFonts w:ascii="宋体" w:hAnsi="宋体"/>
                <w:bCs/>
                <w:color w:val="000000"/>
                <w:sz w:val="18"/>
                <w:szCs w:val="18"/>
              </w:rPr>
              <w:t>小电阻接地系统：零序过流保护（I0≥300A，0s）</w:t>
            </w:r>
          </w:p>
        </w:tc>
      </w:tr>
      <w:tr w:rsidR="0051782D" w14:paraId="1B212873" w14:textId="77777777">
        <w:trPr>
          <w:trHeight w:val="96"/>
        </w:trPr>
        <w:tc>
          <w:tcPr>
            <w:tcW w:w="1394" w:type="dxa"/>
            <w:tcBorders>
              <w:top w:val="single" w:sz="2" w:space="0" w:color="808080"/>
              <w:left w:val="single" w:sz="2" w:space="0" w:color="808080"/>
              <w:bottom w:val="single" w:sz="2" w:space="0" w:color="808080"/>
              <w:right w:val="single" w:sz="2" w:space="0" w:color="808080"/>
            </w:tcBorders>
            <w:vAlign w:val="center"/>
          </w:tcPr>
          <w:p w14:paraId="59811438"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防孤岛保护</w:t>
            </w:r>
          </w:p>
        </w:tc>
        <w:tc>
          <w:tcPr>
            <w:tcW w:w="7981" w:type="dxa"/>
            <w:tcBorders>
              <w:top w:val="single" w:sz="2" w:space="0" w:color="808080"/>
              <w:left w:val="single" w:sz="2" w:space="0" w:color="808080"/>
              <w:bottom w:val="single" w:sz="2" w:space="0" w:color="808080"/>
              <w:right w:val="single" w:sz="2" w:space="0" w:color="808080"/>
            </w:tcBorders>
            <w:vAlign w:val="center"/>
          </w:tcPr>
          <w:p w14:paraId="47F19D02" w14:textId="77777777" w:rsidR="0051782D" w:rsidRDefault="00000000">
            <w:pPr>
              <w:spacing w:before="30" w:after="90"/>
              <w:jc w:val="center"/>
              <w:rPr>
                <w:rFonts w:ascii="宋体" w:hAnsi="宋体" w:hint="eastAsia"/>
                <w:bCs/>
                <w:color w:val="000000"/>
                <w:sz w:val="18"/>
                <w:szCs w:val="18"/>
              </w:rPr>
            </w:pPr>
            <w:r>
              <w:rPr>
                <w:rFonts w:ascii="宋体" w:hAnsi="宋体"/>
                <w:bCs/>
                <w:color w:val="000000"/>
                <w:sz w:val="18"/>
                <w:szCs w:val="18"/>
              </w:rPr>
              <w:t>多级频率扰动法：49.5Hz/50.5Hz跳闸时间≤0.2s</w:t>
            </w:r>
            <w:r>
              <w:rPr>
                <w:rFonts w:ascii="宋体" w:hAnsi="宋体" w:hint="eastAsia"/>
                <w:bCs/>
                <w:color w:val="000000"/>
                <w:sz w:val="18"/>
                <w:szCs w:val="18"/>
              </w:rPr>
              <w:t>；</w:t>
            </w:r>
            <w:r>
              <w:rPr>
                <w:rFonts w:ascii="宋体" w:hAnsi="宋体"/>
                <w:bCs/>
                <w:color w:val="000000"/>
                <w:sz w:val="18"/>
                <w:szCs w:val="18"/>
              </w:rPr>
              <w:t>主动频率偏移（AFD）扰动步长≥0.1Hz</w:t>
            </w:r>
            <w:r>
              <w:rPr>
                <w:rFonts w:ascii="宋体" w:hAnsi="宋体" w:hint="eastAsia"/>
                <w:bCs/>
                <w:color w:val="000000"/>
                <w:sz w:val="18"/>
                <w:szCs w:val="18"/>
              </w:rPr>
              <w:t>；</w:t>
            </w:r>
            <w:r>
              <w:rPr>
                <w:rFonts w:ascii="宋体" w:hAnsi="宋体"/>
                <w:bCs/>
                <w:color w:val="000000"/>
                <w:sz w:val="18"/>
                <w:szCs w:val="18"/>
              </w:rPr>
              <w:t>满足GB/T 19964中电压异常响应要求</w:t>
            </w:r>
          </w:p>
        </w:tc>
      </w:tr>
    </w:tbl>
    <w:p w14:paraId="62198BA2" w14:textId="77777777" w:rsidR="0051782D" w:rsidRDefault="0051782D">
      <w:pPr>
        <w:pStyle w:val="aff6"/>
      </w:pPr>
    </w:p>
    <w:p w14:paraId="090EA71D"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220/380V电压等级时，充电站内部保护定值应与公共连接点保护相配合，公共连接点所在线路断路器应配置短延时保护、长延时保护、分励脱扣、欠压脱扣，及低压闭锁合闸、剩余电流保护等功能。具体可参考表A.4执行。</w:t>
      </w:r>
    </w:p>
    <w:p w14:paraId="122DAE2C" w14:textId="77777777" w:rsidR="0051782D" w:rsidRDefault="00000000">
      <w:pPr>
        <w:pStyle w:val="ad"/>
        <w:tabs>
          <w:tab w:val="clear" w:pos="180"/>
        </w:tabs>
        <w:spacing w:before="156" w:after="156"/>
        <w:ind w:left="567" w:hanging="567"/>
        <w:outlineLvl w:val="2"/>
      </w:pPr>
      <w:bookmarkStart w:id="359" w:name="_Toc19309"/>
      <w:bookmarkStart w:id="360" w:name="_Toc10986"/>
      <w:r>
        <w:rPr>
          <w:rFonts w:hint="eastAsia"/>
        </w:rPr>
        <w:t>光储充检一体化充电站接入220/380V配电网的保护配置要求</w:t>
      </w:r>
      <w:bookmarkEnd w:id="359"/>
      <w:bookmarkEnd w:id="360"/>
    </w:p>
    <w:tbl>
      <w:tblPr>
        <w:tblW w:w="93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0" w:type="dxa"/>
          <w:left w:w="10" w:type="dxa"/>
          <w:bottom w:w="10" w:type="dxa"/>
          <w:right w:w="10" w:type="dxa"/>
        </w:tblCellMar>
        <w:tblLook w:val="04A0" w:firstRow="1" w:lastRow="0" w:firstColumn="1" w:lastColumn="0" w:noHBand="0" w:noVBand="1"/>
      </w:tblPr>
      <w:tblGrid>
        <w:gridCol w:w="1632"/>
        <w:gridCol w:w="7743"/>
      </w:tblGrid>
      <w:tr w:rsidR="0051782D" w14:paraId="5E582ECE" w14:textId="77777777">
        <w:trPr>
          <w:trHeight w:val="90"/>
        </w:trPr>
        <w:tc>
          <w:tcPr>
            <w:tcW w:w="1632" w:type="dxa"/>
            <w:tcBorders>
              <w:top w:val="single" w:sz="2" w:space="0" w:color="808080"/>
              <w:left w:val="single" w:sz="2" w:space="0" w:color="808080"/>
              <w:bottom w:val="single" w:sz="2" w:space="0" w:color="808080"/>
              <w:right w:val="single" w:sz="2" w:space="0" w:color="808080"/>
            </w:tcBorders>
            <w:vAlign w:val="center"/>
          </w:tcPr>
          <w:p w14:paraId="7D7F8F05"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保护功能</w:t>
            </w:r>
          </w:p>
        </w:tc>
        <w:tc>
          <w:tcPr>
            <w:tcW w:w="7743" w:type="dxa"/>
            <w:tcBorders>
              <w:top w:val="single" w:sz="2" w:space="0" w:color="808080"/>
              <w:left w:val="single" w:sz="2" w:space="0" w:color="808080"/>
              <w:bottom w:val="single" w:sz="2" w:space="0" w:color="808080"/>
              <w:right w:val="single" w:sz="2" w:space="0" w:color="808080"/>
            </w:tcBorders>
            <w:vAlign w:val="center"/>
          </w:tcPr>
          <w:p w14:paraId="219EA622"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配置要求</w:t>
            </w:r>
          </w:p>
        </w:tc>
      </w:tr>
      <w:tr w:rsidR="0051782D" w14:paraId="57471597" w14:textId="77777777">
        <w:trPr>
          <w:trHeight w:val="93"/>
        </w:trPr>
        <w:tc>
          <w:tcPr>
            <w:tcW w:w="1632" w:type="dxa"/>
            <w:tcBorders>
              <w:top w:val="single" w:sz="2" w:space="0" w:color="808080"/>
              <w:left w:val="single" w:sz="2" w:space="0" w:color="808080"/>
              <w:bottom w:val="single" w:sz="2" w:space="0" w:color="808080"/>
              <w:right w:val="single" w:sz="2" w:space="0" w:color="808080"/>
            </w:tcBorders>
            <w:vAlign w:val="center"/>
          </w:tcPr>
          <w:p w14:paraId="78088779"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短延时保护</w:t>
            </w:r>
          </w:p>
        </w:tc>
        <w:tc>
          <w:tcPr>
            <w:tcW w:w="7743" w:type="dxa"/>
            <w:tcBorders>
              <w:top w:val="single" w:sz="2" w:space="0" w:color="808080"/>
              <w:left w:val="single" w:sz="2" w:space="0" w:color="808080"/>
              <w:bottom w:val="single" w:sz="2" w:space="0" w:color="808080"/>
              <w:right w:val="single" w:sz="2" w:space="0" w:color="808080"/>
            </w:tcBorders>
            <w:vAlign w:val="center"/>
          </w:tcPr>
          <w:p w14:paraId="7A4229B6"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整定值 I_sd≥6I_n（I_n为进线断路器额定电流），动作时间0.1s~0.4s阶梯可调</w:t>
            </w:r>
          </w:p>
        </w:tc>
      </w:tr>
      <w:tr w:rsidR="0051782D" w14:paraId="62D2B34A" w14:textId="77777777">
        <w:trPr>
          <w:trHeight w:val="433"/>
        </w:trPr>
        <w:tc>
          <w:tcPr>
            <w:tcW w:w="1632" w:type="dxa"/>
            <w:tcBorders>
              <w:top w:val="single" w:sz="2" w:space="0" w:color="808080"/>
              <w:left w:val="single" w:sz="2" w:space="0" w:color="808080"/>
              <w:bottom w:val="single" w:sz="2" w:space="0" w:color="808080"/>
              <w:right w:val="single" w:sz="2" w:space="0" w:color="808080"/>
            </w:tcBorders>
            <w:vAlign w:val="center"/>
          </w:tcPr>
          <w:p w14:paraId="5D14200A"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长延时保护</w:t>
            </w:r>
          </w:p>
        </w:tc>
        <w:tc>
          <w:tcPr>
            <w:tcW w:w="7743" w:type="dxa"/>
            <w:tcBorders>
              <w:top w:val="single" w:sz="2" w:space="0" w:color="808080"/>
              <w:left w:val="single" w:sz="2" w:space="0" w:color="808080"/>
              <w:bottom w:val="single" w:sz="2" w:space="0" w:color="808080"/>
              <w:right w:val="single" w:sz="2" w:space="0" w:color="808080"/>
            </w:tcBorders>
            <w:vAlign w:val="center"/>
          </w:tcPr>
          <w:p w14:paraId="681E05D5"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反时限特性曲线匹配充电负荷特性</w:t>
            </w:r>
          </w:p>
        </w:tc>
      </w:tr>
      <w:tr w:rsidR="0051782D" w14:paraId="3977795E" w14:textId="77777777">
        <w:trPr>
          <w:trHeight w:val="114"/>
        </w:trPr>
        <w:tc>
          <w:tcPr>
            <w:tcW w:w="1632" w:type="dxa"/>
            <w:tcBorders>
              <w:top w:val="single" w:sz="2" w:space="0" w:color="808080"/>
              <w:left w:val="single" w:sz="2" w:space="0" w:color="808080"/>
              <w:bottom w:val="single" w:sz="2" w:space="0" w:color="808080"/>
              <w:right w:val="single" w:sz="2" w:space="0" w:color="808080"/>
            </w:tcBorders>
            <w:vAlign w:val="center"/>
          </w:tcPr>
          <w:p w14:paraId="483501D6" w14:textId="77777777" w:rsidR="0051782D" w:rsidRDefault="00000000">
            <w:pPr>
              <w:spacing w:before="30" w:after="90"/>
              <w:ind w:left="60"/>
              <w:jc w:val="center"/>
              <w:rPr>
                <w:rFonts w:ascii="宋体" w:hAnsi="宋体" w:hint="eastAsia"/>
                <w:bCs/>
                <w:color w:val="000000"/>
                <w:sz w:val="18"/>
                <w:szCs w:val="18"/>
              </w:rPr>
            </w:pPr>
            <w:r>
              <w:rPr>
                <w:rFonts w:ascii="宋体" w:hAnsi="宋体" w:hint="eastAsia"/>
                <w:bCs/>
                <w:color w:val="000000"/>
                <w:sz w:val="18"/>
                <w:szCs w:val="18"/>
              </w:rPr>
              <w:t>分励脱扣</w:t>
            </w:r>
          </w:p>
        </w:tc>
        <w:tc>
          <w:tcPr>
            <w:tcW w:w="7743" w:type="dxa"/>
            <w:tcBorders>
              <w:top w:val="single" w:sz="2" w:space="0" w:color="808080"/>
              <w:left w:val="single" w:sz="2" w:space="0" w:color="808080"/>
              <w:bottom w:val="single" w:sz="2" w:space="0" w:color="808080"/>
              <w:right w:val="single" w:sz="2" w:space="0" w:color="808080"/>
            </w:tcBorders>
            <w:vAlign w:val="center"/>
          </w:tcPr>
          <w:p w14:paraId="3494546C" w14:textId="77777777" w:rsidR="0051782D" w:rsidRDefault="00000000">
            <w:pPr>
              <w:spacing w:before="30" w:after="90"/>
              <w:ind w:left="60"/>
              <w:jc w:val="center"/>
              <w:rPr>
                <w:rFonts w:ascii="宋体" w:hAnsi="宋体" w:hint="eastAsia"/>
                <w:bCs/>
                <w:color w:val="000000"/>
                <w:sz w:val="18"/>
                <w:szCs w:val="18"/>
              </w:rPr>
            </w:pPr>
            <w:r>
              <w:rPr>
                <w:rFonts w:ascii="宋体" w:hAnsi="宋体" w:hint="eastAsia"/>
                <w:bCs/>
                <w:color w:val="000000"/>
                <w:sz w:val="18"/>
                <w:szCs w:val="18"/>
              </w:rPr>
              <w:t xml:space="preserve"> 动作阈值70%Un,返回电压≥85%Un，延时范围0.1</w:t>
            </w:r>
            <w:r>
              <w:rPr>
                <w:rFonts w:ascii="宋体" w:hAnsi="宋体"/>
                <w:bCs/>
                <w:color w:val="000000"/>
                <w:sz w:val="18"/>
                <w:szCs w:val="18"/>
              </w:rPr>
              <w:t>~</w:t>
            </w:r>
            <w:r>
              <w:rPr>
                <w:rFonts w:ascii="宋体" w:hAnsi="宋体" w:hint="eastAsia"/>
                <w:bCs/>
                <w:color w:val="000000"/>
                <w:sz w:val="18"/>
                <w:szCs w:val="18"/>
              </w:rPr>
              <w:t>10s，延时动作时间≤20ms</w:t>
            </w:r>
          </w:p>
        </w:tc>
      </w:tr>
      <w:tr w:rsidR="0051782D" w14:paraId="22FC6FA5" w14:textId="77777777">
        <w:trPr>
          <w:trHeight w:val="96"/>
        </w:trPr>
        <w:tc>
          <w:tcPr>
            <w:tcW w:w="1632" w:type="dxa"/>
            <w:tcBorders>
              <w:top w:val="single" w:sz="2" w:space="0" w:color="808080"/>
              <w:left w:val="single" w:sz="2" w:space="0" w:color="808080"/>
              <w:bottom w:val="single" w:sz="2" w:space="0" w:color="808080"/>
              <w:right w:val="single" w:sz="2" w:space="0" w:color="808080"/>
            </w:tcBorders>
            <w:vAlign w:val="center"/>
          </w:tcPr>
          <w:p w14:paraId="3777E596"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欠压脱扣</w:t>
            </w:r>
          </w:p>
        </w:tc>
        <w:tc>
          <w:tcPr>
            <w:tcW w:w="7743" w:type="dxa"/>
            <w:tcBorders>
              <w:top w:val="single" w:sz="2" w:space="0" w:color="808080"/>
              <w:left w:val="single" w:sz="2" w:space="0" w:color="808080"/>
              <w:bottom w:val="single" w:sz="2" w:space="0" w:color="808080"/>
              <w:right w:val="single" w:sz="2" w:space="0" w:color="808080"/>
            </w:tcBorders>
            <w:vAlign w:val="center"/>
          </w:tcPr>
          <w:p w14:paraId="0DAF8E8D" w14:textId="77777777" w:rsidR="0051782D" w:rsidRDefault="00000000">
            <w:pPr>
              <w:spacing w:before="30" w:after="90"/>
              <w:jc w:val="center"/>
              <w:rPr>
                <w:rFonts w:ascii="宋体" w:hAnsi="宋体" w:hint="eastAsia"/>
                <w:bCs/>
                <w:color w:val="000000"/>
                <w:sz w:val="18"/>
                <w:szCs w:val="18"/>
              </w:rPr>
            </w:pPr>
            <w:r>
              <w:rPr>
                <w:rFonts w:ascii="宋体" w:hAnsi="宋体"/>
                <w:bCs/>
                <w:color w:val="000000"/>
                <w:sz w:val="18"/>
                <w:szCs w:val="18"/>
              </w:rPr>
              <w:t>动作阈值70%Ue±5%，延时0~10s可调</w:t>
            </w:r>
          </w:p>
        </w:tc>
      </w:tr>
      <w:tr w:rsidR="0051782D" w14:paraId="67ACD67A" w14:textId="77777777">
        <w:trPr>
          <w:trHeight w:val="96"/>
        </w:trPr>
        <w:tc>
          <w:tcPr>
            <w:tcW w:w="1632" w:type="dxa"/>
            <w:tcBorders>
              <w:top w:val="single" w:sz="2" w:space="0" w:color="808080"/>
              <w:left w:val="single" w:sz="2" w:space="0" w:color="808080"/>
              <w:bottom w:val="single" w:sz="2" w:space="0" w:color="808080"/>
              <w:right w:val="single" w:sz="2" w:space="0" w:color="808080"/>
            </w:tcBorders>
            <w:vAlign w:val="center"/>
          </w:tcPr>
          <w:p w14:paraId="4953DE2A"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闭锁合闸</w:t>
            </w:r>
          </w:p>
        </w:tc>
        <w:tc>
          <w:tcPr>
            <w:tcW w:w="7743" w:type="dxa"/>
            <w:tcBorders>
              <w:top w:val="single" w:sz="2" w:space="0" w:color="808080"/>
              <w:left w:val="single" w:sz="2" w:space="0" w:color="808080"/>
              <w:bottom w:val="single" w:sz="2" w:space="0" w:color="808080"/>
              <w:right w:val="single" w:sz="2" w:space="0" w:color="808080"/>
            </w:tcBorders>
            <w:vAlign w:val="center"/>
          </w:tcPr>
          <w:p w14:paraId="317EC734" w14:textId="77777777" w:rsidR="0051782D" w:rsidRDefault="00000000">
            <w:pPr>
              <w:spacing w:before="30" w:after="90"/>
              <w:jc w:val="center"/>
              <w:rPr>
                <w:rFonts w:ascii="宋体" w:hAnsi="宋体" w:hint="eastAsia"/>
                <w:bCs/>
                <w:color w:val="000000"/>
                <w:sz w:val="18"/>
                <w:szCs w:val="18"/>
              </w:rPr>
            </w:pPr>
            <w:r>
              <w:rPr>
                <w:rFonts w:ascii="宋体" w:hAnsi="宋体"/>
                <w:bCs/>
                <w:color w:val="000000"/>
                <w:sz w:val="18"/>
                <w:szCs w:val="18"/>
              </w:rPr>
              <w:t>母线电压&lt;85%时禁止断路器合闸</w:t>
            </w:r>
          </w:p>
        </w:tc>
      </w:tr>
      <w:tr w:rsidR="0051782D" w14:paraId="7B836DEB" w14:textId="77777777">
        <w:trPr>
          <w:trHeight w:val="96"/>
        </w:trPr>
        <w:tc>
          <w:tcPr>
            <w:tcW w:w="1632" w:type="dxa"/>
            <w:tcBorders>
              <w:top w:val="single" w:sz="2" w:space="0" w:color="808080"/>
              <w:left w:val="single" w:sz="2" w:space="0" w:color="808080"/>
              <w:bottom w:val="single" w:sz="2" w:space="0" w:color="808080"/>
              <w:right w:val="single" w:sz="2" w:space="0" w:color="808080"/>
            </w:tcBorders>
            <w:vAlign w:val="center"/>
          </w:tcPr>
          <w:p w14:paraId="6CACF630"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剩余电流保护</w:t>
            </w:r>
          </w:p>
        </w:tc>
        <w:tc>
          <w:tcPr>
            <w:tcW w:w="7743" w:type="dxa"/>
            <w:tcBorders>
              <w:top w:val="single" w:sz="2" w:space="0" w:color="808080"/>
              <w:left w:val="single" w:sz="2" w:space="0" w:color="808080"/>
              <w:bottom w:val="single" w:sz="2" w:space="0" w:color="808080"/>
              <w:right w:val="single" w:sz="2" w:space="0" w:color="808080"/>
            </w:tcBorders>
            <w:vAlign w:val="center"/>
          </w:tcPr>
          <w:p w14:paraId="426D708B" w14:textId="77777777" w:rsidR="0051782D" w:rsidRDefault="00000000">
            <w:pPr>
              <w:spacing w:before="30" w:after="90"/>
              <w:ind w:left="60"/>
              <w:jc w:val="center"/>
              <w:rPr>
                <w:rFonts w:ascii="宋体" w:hAnsi="宋体" w:hint="eastAsia"/>
                <w:bCs/>
                <w:color w:val="000000"/>
                <w:sz w:val="18"/>
                <w:szCs w:val="18"/>
              </w:rPr>
            </w:pPr>
            <w:r>
              <w:rPr>
                <w:rFonts w:ascii="宋体" w:hAnsi="宋体"/>
                <w:bCs/>
                <w:color w:val="000000"/>
                <w:sz w:val="18"/>
                <w:szCs w:val="18"/>
              </w:rPr>
              <w:t>S型漏电断路器（避免脉冲干扰误动），动作值300mA（常规） / 30mA（人员接触区）|</w:t>
            </w:r>
          </w:p>
        </w:tc>
      </w:tr>
    </w:tbl>
    <w:p w14:paraId="7C1CC003" w14:textId="77777777" w:rsidR="0051782D" w:rsidRDefault="0051782D">
      <w:pPr>
        <w:pStyle w:val="aff6"/>
      </w:pPr>
    </w:p>
    <w:p w14:paraId="75FF25CD"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当光储充检一体化充电站属于重要电力用户时，公共连接点所在线路应配置自动投切装置或备自投装置。</w:t>
      </w:r>
    </w:p>
    <w:p w14:paraId="585A2D4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当光储充检一体化充电站具备向电网反向送电能力时，公共连接点的方向过流保护应具备双向方向判别功能，能够根据运行方式自动切换动作方向。</w:t>
      </w:r>
    </w:p>
    <w:p w14:paraId="16879D64" w14:textId="77777777" w:rsidR="0051782D" w:rsidRDefault="00000000">
      <w:pPr>
        <w:pStyle w:val="a2"/>
        <w:ind w:left="0"/>
        <w:outlineLvl w:val="1"/>
        <w:rPr>
          <w:rFonts w:hAnsi="黑体" w:cs="黑体" w:hint="eastAsia"/>
        </w:rPr>
      </w:pPr>
      <w:bookmarkStart w:id="361" w:name="_Toc30340"/>
      <w:bookmarkStart w:id="362" w:name="_Toc9541"/>
      <w:bookmarkStart w:id="363" w:name="_Toc8619"/>
      <w:bookmarkStart w:id="364" w:name="_Toc15879"/>
      <w:bookmarkStart w:id="365" w:name="_Toc20992"/>
      <w:bookmarkStart w:id="366" w:name="_Toc3906"/>
      <w:bookmarkStart w:id="367" w:name="_Toc5892"/>
      <w:r>
        <w:rPr>
          <w:rFonts w:hAnsi="黑体" w:cs="黑体" w:hint="eastAsia"/>
        </w:rPr>
        <w:t>计量与测量</w:t>
      </w:r>
      <w:bookmarkEnd w:id="361"/>
      <w:bookmarkEnd w:id="362"/>
      <w:bookmarkEnd w:id="363"/>
      <w:bookmarkEnd w:id="364"/>
      <w:bookmarkEnd w:id="365"/>
      <w:bookmarkEnd w:id="366"/>
      <w:bookmarkEnd w:id="367"/>
    </w:p>
    <w:p w14:paraId="6BADB953"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光储充检一体化充电站接入配电网应明确计量点，计量点应设在产权分界处，同时计量点应装设计量电能表，按需差异化安装双向电能计量装置，其设备配置和技术要求应符合DL/T 448、DL/T5202</w:t>
      </w:r>
      <w:r>
        <w:rPr>
          <w:rFonts w:ascii="宋体" w:eastAsia="宋体" w:hAnsi="宋体" w:cs="宋体" w:hint="eastAsia"/>
        </w:rPr>
        <w:lastRenderedPageBreak/>
        <w:t>的要求，其中Ⅰ类、Ⅱ类、Ⅲ类分类可按充换电设施负荷容量或月平均用电量确定，具体可参考表A.5执行。</w:t>
      </w:r>
    </w:p>
    <w:p w14:paraId="02ABA79B" w14:textId="77777777" w:rsidR="0051782D" w:rsidRDefault="0051782D">
      <w:pPr>
        <w:pStyle w:val="aff6"/>
        <w:rPr>
          <w:rFonts w:hAnsi="宋体" w:cs="宋体" w:hint="eastAsia"/>
        </w:rPr>
      </w:pPr>
    </w:p>
    <w:p w14:paraId="0E49A1EE" w14:textId="77777777" w:rsidR="0051782D" w:rsidRDefault="0051782D">
      <w:pPr>
        <w:pStyle w:val="aff6"/>
        <w:rPr>
          <w:rFonts w:hAnsi="宋体" w:cs="宋体" w:hint="eastAsia"/>
        </w:rPr>
      </w:pPr>
    </w:p>
    <w:p w14:paraId="39D5D8EB" w14:textId="77777777" w:rsidR="0051782D" w:rsidRDefault="00000000">
      <w:pPr>
        <w:pStyle w:val="ad"/>
        <w:tabs>
          <w:tab w:val="clear" w:pos="180"/>
        </w:tabs>
        <w:spacing w:before="156" w:after="156"/>
        <w:ind w:left="567" w:hanging="567"/>
        <w:outlineLvl w:val="2"/>
      </w:pPr>
      <w:bookmarkStart w:id="368" w:name="_Toc7200"/>
      <w:r>
        <w:rPr>
          <w:rFonts w:hint="eastAsia"/>
        </w:rPr>
        <w:t>光储充检一体化充电站接入配电网的计量电能表配置要求</w:t>
      </w:r>
      <w:bookmarkEnd w:id="368"/>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6"/>
        <w:gridCol w:w="3939"/>
        <w:gridCol w:w="2816"/>
      </w:tblGrid>
      <w:tr w:rsidR="0051782D" w14:paraId="7A9013EB" w14:textId="77777777">
        <w:trPr>
          <w:tblHeader/>
        </w:trPr>
        <w:tc>
          <w:tcPr>
            <w:tcW w:w="2816" w:type="dxa"/>
          </w:tcPr>
          <w:p w14:paraId="5BEF755A" w14:textId="77777777" w:rsidR="0051782D" w:rsidRDefault="00000000">
            <w:pPr>
              <w:jc w:val="center"/>
              <w:rPr>
                <w:rFonts w:ascii="宋体"/>
                <w:kern w:val="0"/>
                <w:sz w:val="18"/>
              </w:rPr>
            </w:pPr>
            <w:bookmarkStart w:id="369" w:name="_Hlk210946253"/>
            <w:r>
              <w:rPr>
                <w:rFonts w:ascii="宋体" w:hint="eastAsia"/>
                <w:kern w:val="0"/>
                <w:sz w:val="18"/>
              </w:rPr>
              <w:t>充换电设施负荷/kVA</w:t>
            </w:r>
          </w:p>
        </w:tc>
        <w:tc>
          <w:tcPr>
            <w:tcW w:w="3939" w:type="dxa"/>
          </w:tcPr>
          <w:p w14:paraId="0C75F090" w14:textId="77777777" w:rsidR="0051782D" w:rsidRDefault="00000000">
            <w:pPr>
              <w:jc w:val="center"/>
              <w:rPr>
                <w:rFonts w:ascii="宋体"/>
                <w:kern w:val="0"/>
                <w:sz w:val="18"/>
              </w:rPr>
            </w:pPr>
            <w:r>
              <w:rPr>
                <w:rFonts w:ascii="宋体" w:hint="eastAsia"/>
                <w:kern w:val="0"/>
                <w:sz w:val="18"/>
              </w:rPr>
              <w:t>充换电设施月平均用电量/kWh</w:t>
            </w:r>
          </w:p>
        </w:tc>
        <w:tc>
          <w:tcPr>
            <w:tcW w:w="2816" w:type="dxa"/>
          </w:tcPr>
          <w:p w14:paraId="239A8940" w14:textId="77777777" w:rsidR="0051782D" w:rsidRDefault="00000000">
            <w:pPr>
              <w:jc w:val="center"/>
              <w:rPr>
                <w:rFonts w:ascii="宋体"/>
                <w:kern w:val="0"/>
                <w:sz w:val="18"/>
              </w:rPr>
            </w:pPr>
            <w:r>
              <w:rPr>
                <w:rFonts w:ascii="宋体" w:hint="eastAsia"/>
                <w:kern w:val="0"/>
                <w:sz w:val="18"/>
              </w:rPr>
              <w:t>电能量计量装置分类</w:t>
            </w:r>
          </w:p>
        </w:tc>
      </w:tr>
      <w:tr w:rsidR="0051782D" w14:paraId="3A40EBFF" w14:textId="77777777">
        <w:tc>
          <w:tcPr>
            <w:tcW w:w="2816" w:type="dxa"/>
          </w:tcPr>
          <w:p w14:paraId="04591D01" w14:textId="77777777" w:rsidR="0051782D" w:rsidRDefault="00000000">
            <w:pPr>
              <w:jc w:val="center"/>
              <w:rPr>
                <w:rFonts w:ascii="宋体"/>
                <w:kern w:val="0"/>
                <w:sz w:val="18"/>
              </w:rPr>
            </w:pPr>
            <w:r>
              <w:rPr>
                <w:rFonts w:ascii="宋体" w:hint="eastAsia"/>
                <w:kern w:val="0"/>
                <w:sz w:val="18"/>
              </w:rPr>
              <w:t>单相设备</w:t>
            </w:r>
          </w:p>
        </w:tc>
        <w:tc>
          <w:tcPr>
            <w:tcW w:w="3939" w:type="dxa"/>
          </w:tcPr>
          <w:p w14:paraId="69BA61F0" w14:textId="77777777" w:rsidR="0051782D" w:rsidRDefault="00000000">
            <w:pPr>
              <w:jc w:val="center"/>
              <w:rPr>
                <w:rFonts w:ascii="宋体"/>
                <w:kern w:val="0"/>
                <w:sz w:val="18"/>
              </w:rPr>
            </w:pPr>
            <w:r>
              <w:rPr>
                <w:rFonts w:ascii="宋体" w:hint="eastAsia"/>
                <w:kern w:val="0"/>
                <w:sz w:val="18"/>
              </w:rPr>
              <w:t>-</w:t>
            </w:r>
          </w:p>
        </w:tc>
        <w:tc>
          <w:tcPr>
            <w:tcW w:w="2816" w:type="dxa"/>
          </w:tcPr>
          <w:p w14:paraId="2E4C2555" w14:textId="77777777" w:rsidR="0051782D" w:rsidRDefault="00000000">
            <w:pPr>
              <w:jc w:val="center"/>
              <w:rPr>
                <w:rFonts w:ascii="宋体"/>
                <w:kern w:val="0"/>
                <w:sz w:val="18"/>
              </w:rPr>
            </w:pPr>
            <w:r>
              <w:rPr>
                <w:rFonts w:ascii="宋体" w:hint="eastAsia"/>
                <w:kern w:val="0"/>
                <w:sz w:val="18"/>
              </w:rPr>
              <w:t>Ⅴ类</w:t>
            </w:r>
          </w:p>
        </w:tc>
      </w:tr>
      <w:tr w:rsidR="0051782D" w14:paraId="580F5D63" w14:textId="77777777">
        <w:tc>
          <w:tcPr>
            <w:tcW w:w="2816" w:type="dxa"/>
          </w:tcPr>
          <w:p w14:paraId="67AA5F5D" w14:textId="77777777" w:rsidR="0051782D" w:rsidRDefault="00000000">
            <w:pPr>
              <w:jc w:val="center"/>
              <w:rPr>
                <w:rFonts w:ascii="宋体"/>
                <w:kern w:val="0"/>
                <w:sz w:val="18"/>
              </w:rPr>
            </w:pPr>
            <w:r>
              <w:rPr>
                <w:rFonts w:ascii="宋体" w:hint="eastAsia"/>
                <w:kern w:val="0"/>
                <w:sz w:val="18"/>
              </w:rPr>
              <w:t>315kVA及以下</w:t>
            </w:r>
          </w:p>
        </w:tc>
        <w:tc>
          <w:tcPr>
            <w:tcW w:w="3939" w:type="dxa"/>
          </w:tcPr>
          <w:p w14:paraId="0E1968CD" w14:textId="77777777" w:rsidR="0051782D" w:rsidRDefault="00000000">
            <w:pPr>
              <w:jc w:val="center"/>
              <w:rPr>
                <w:rFonts w:ascii="宋体"/>
                <w:kern w:val="0"/>
                <w:sz w:val="18"/>
              </w:rPr>
            </w:pPr>
            <w:r>
              <w:rPr>
                <w:rFonts w:ascii="宋体" w:hint="eastAsia"/>
                <w:kern w:val="0"/>
                <w:sz w:val="18"/>
              </w:rPr>
              <w:t>-</w:t>
            </w:r>
          </w:p>
        </w:tc>
        <w:tc>
          <w:tcPr>
            <w:tcW w:w="2816" w:type="dxa"/>
          </w:tcPr>
          <w:p w14:paraId="7FD6372B" w14:textId="77777777" w:rsidR="0051782D" w:rsidRDefault="00000000">
            <w:pPr>
              <w:jc w:val="center"/>
              <w:rPr>
                <w:rFonts w:ascii="宋体"/>
                <w:kern w:val="0"/>
                <w:sz w:val="18"/>
              </w:rPr>
            </w:pPr>
            <w:r>
              <w:rPr>
                <w:rFonts w:ascii="宋体" w:hint="eastAsia"/>
                <w:kern w:val="0"/>
                <w:sz w:val="18"/>
              </w:rPr>
              <w:t>Ⅳ类</w:t>
            </w:r>
          </w:p>
        </w:tc>
      </w:tr>
      <w:tr w:rsidR="0051782D" w14:paraId="33740E3A" w14:textId="77777777">
        <w:tc>
          <w:tcPr>
            <w:tcW w:w="2816" w:type="dxa"/>
          </w:tcPr>
          <w:p w14:paraId="607E870A" w14:textId="77777777" w:rsidR="0051782D" w:rsidRDefault="00000000">
            <w:pPr>
              <w:jc w:val="center"/>
              <w:rPr>
                <w:rFonts w:ascii="宋体"/>
                <w:kern w:val="0"/>
                <w:sz w:val="18"/>
              </w:rPr>
            </w:pPr>
            <w:r>
              <w:rPr>
                <w:rFonts w:ascii="宋体" w:hint="eastAsia"/>
                <w:kern w:val="0"/>
                <w:sz w:val="18"/>
              </w:rPr>
              <w:t>315kVA及以上</w:t>
            </w:r>
          </w:p>
        </w:tc>
        <w:tc>
          <w:tcPr>
            <w:tcW w:w="3939" w:type="dxa"/>
          </w:tcPr>
          <w:p w14:paraId="710F6FEF" w14:textId="77777777" w:rsidR="0051782D" w:rsidRDefault="00000000">
            <w:pPr>
              <w:jc w:val="center"/>
              <w:rPr>
                <w:rFonts w:ascii="宋体"/>
                <w:kern w:val="0"/>
                <w:sz w:val="18"/>
              </w:rPr>
            </w:pPr>
            <w:r>
              <w:rPr>
                <w:rFonts w:ascii="宋体" w:hint="eastAsia"/>
                <w:kern w:val="0"/>
                <w:sz w:val="18"/>
              </w:rPr>
              <w:t>10万及以上</w:t>
            </w:r>
          </w:p>
        </w:tc>
        <w:tc>
          <w:tcPr>
            <w:tcW w:w="2816" w:type="dxa"/>
          </w:tcPr>
          <w:p w14:paraId="784613D7" w14:textId="77777777" w:rsidR="0051782D" w:rsidRDefault="00000000">
            <w:pPr>
              <w:jc w:val="center"/>
              <w:rPr>
                <w:rFonts w:ascii="宋体"/>
                <w:kern w:val="0"/>
                <w:sz w:val="18"/>
              </w:rPr>
            </w:pPr>
            <w:r>
              <w:rPr>
                <w:rFonts w:ascii="宋体" w:hint="eastAsia"/>
                <w:kern w:val="0"/>
                <w:sz w:val="18"/>
              </w:rPr>
              <w:t>Ⅲ类</w:t>
            </w:r>
          </w:p>
        </w:tc>
      </w:tr>
      <w:tr w:rsidR="0051782D" w14:paraId="70272743" w14:textId="77777777">
        <w:tc>
          <w:tcPr>
            <w:tcW w:w="2816" w:type="dxa"/>
          </w:tcPr>
          <w:p w14:paraId="065288F0" w14:textId="77777777" w:rsidR="0051782D" w:rsidRDefault="00000000">
            <w:pPr>
              <w:jc w:val="center"/>
              <w:rPr>
                <w:rFonts w:ascii="宋体"/>
                <w:kern w:val="0"/>
                <w:sz w:val="18"/>
              </w:rPr>
            </w:pPr>
            <w:r>
              <w:rPr>
                <w:rFonts w:ascii="宋体" w:hint="eastAsia"/>
                <w:kern w:val="0"/>
                <w:sz w:val="18"/>
              </w:rPr>
              <w:t>2000kVA及以上</w:t>
            </w:r>
          </w:p>
        </w:tc>
        <w:tc>
          <w:tcPr>
            <w:tcW w:w="3939" w:type="dxa"/>
          </w:tcPr>
          <w:p w14:paraId="275C05B4" w14:textId="77777777" w:rsidR="0051782D" w:rsidRDefault="00000000">
            <w:pPr>
              <w:jc w:val="center"/>
              <w:rPr>
                <w:rFonts w:ascii="宋体"/>
                <w:kern w:val="0"/>
                <w:sz w:val="18"/>
              </w:rPr>
            </w:pPr>
            <w:r>
              <w:rPr>
                <w:rFonts w:ascii="宋体" w:hint="eastAsia"/>
                <w:kern w:val="0"/>
                <w:sz w:val="18"/>
              </w:rPr>
              <w:t>100万及以上</w:t>
            </w:r>
          </w:p>
        </w:tc>
        <w:tc>
          <w:tcPr>
            <w:tcW w:w="2816" w:type="dxa"/>
          </w:tcPr>
          <w:p w14:paraId="10538BCE" w14:textId="77777777" w:rsidR="0051782D" w:rsidRDefault="00000000">
            <w:pPr>
              <w:jc w:val="center"/>
              <w:rPr>
                <w:rFonts w:ascii="宋体"/>
                <w:kern w:val="0"/>
                <w:sz w:val="18"/>
              </w:rPr>
            </w:pPr>
            <w:r>
              <w:rPr>
                <w:rFonts w:ascii="宋体" w:hint="eastAsia"/>
                <w:kern w:val="0"/>
                <w:sz w:val="18"/>
              </w:rPr>
              <w:t>Ⅱ类</w:t>
            </w:r>
          </w:p>
        </w:tc>
      </w:tr>
      <w:tr w:rsidR="0051782D" w14:paraId="3E8D8A2B" w14:textId="77777777">
        <w:tc>
          <w:tcPr>
            <w:tcW w:w="2816" w:type="dxa"/>
          </w:tcPr>
          <w:p w14:paraId="291A35D8" w14:textId="77777777" w:rsidR="0051782D" w:rsidRDefault="00000000">
            <w:pPr>
              <w:jc w:val="center"/>
              <w:rPr>
                <w:rFonts w:ascii="宋体"/>
                <w:kern w:val="0"/>
                <w:sz w:val="18"/>
              </w:rPr>
            </w:pPr>
            <w:r>
              <w:rPr>
                <w:rFonts w:ascii="宋体" w:hint="eastAsia"/>
                <w:kern w:val="0"/>
                <w:sz w:val="18"/>
              </w:rPr>
              <w:t>10000kVA及以上</w:t>
            </w:r>
          </w:p>
        </w:tc>
        <w:tc>
          <w:tcPr>
            <w:tcW w:w="3939" w:type="dxa"/>
          </w:tcPr>
          <w:p w14:paraId="6D9066B9" w14:textId="77777777" w:rsidR="0051782D" w:rsidRDefault="00000000">
            <w:pPr>
              <w:jc w:val="center"/>
              <w:rPr>
                <w:rFonts w:ascii="宋体"/>
                <w:kern w:val="0"/>
                <w:sz w:val="18"/>
              </w:rPr>
            </w:pPr>
            <w:r>
              <w:rPr>
                <w:rFonts w:ascii="宋体" w:hint="eastAsia"/>
                <w:kern w:val="0"/>
                <w:sz w:val="18"/>
              </w:rPr>
              <w:t>500万及以上</w:t>
            </w:r>
          </w:p>
        </w:tc>
        <w:tc>
          <w:tcPr>
            <w:tcW w:w="2816" w:type="dxa"/>
          </w:tcPr>
          <w:p w14:paraId="57C1BD71" w14:textId="77777777" w:rsidR="0051782D" w:rsidRDefault="00000000">
            <w:pPr>
              <w:jc w:val="center"/>
              <w:rPr>
                <w:rFonts w:ascii="宋体"/>
                <w:kern w:val="0"/>
                <w:sz w:val="18"/>
              </w:rPr>
            </w:pPr>
            <w:r>
              <w:rPr>
                <w:rFonts w:ascii="宋体" w:hint="eastAsia"/>
                <w:kern w:val="0"/>
                <w:sz w:val="18"/>
              </w:rPr>
              <w:t>Ⅰ类</w:t>
            </w:r>
          </w:p>
        </w:tc>
      </w:tr>
      <w:bookmarkEnd w:id="369"/>
    </w:tbl>
    <w:p w14:paraId="56FA5F99" w14:textId="77777777" w:rsidR="0051782D" w:rsidRDefault="0051782D">
      <w:pPr>
        <w:pStyle w:val="aff6"/>
      </w:pPr>
    </w:p>
    <w:p w14:paraId="5E325176"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时，若产权分界处不适宜安装计量电能表，则由充换电设施业主与电网企业协商确定计量点，变压器（如有）的有功，无功损耗和线路损耗的计费应按电网公司相关标准执行或由双方协商确定。</w:t>
      </w:r>
    </w:p>
    <w:p w14:paraId="4B6C16C0"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光储充检一体化充电站接入10kV电压等级时，宜配置同型号、同规格的主、副智能电能表，电能表通讯协议符合DL/T 645要求；计量用电流、电压互感器应采用独立的二次绕组，不得接入与电能计量无关的设备。</w:t>
      </w:r>
    </w:p>
    <w:p w14:paraId="0CB19966"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光储充检一体化充电站接入380V电压等级时，宜配置单套三相电能表，电能表通讯协议符合DL/T 645要求。</w:t>
      </w:r>
    </w:p>
    <w:p w14:paraId="145682C6"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光储充检一体化充电站接入220V电压等级时，宜配置单套单相电能表，电能表通讯协议符合DL/T 645要求。</w:t>
      </w:r>
    </w:p>
    <w:p w14:paraId="55E3998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光储充检一体化充电站接入配电网的电能计量装置应配置专用的整体式电能计量柜（箱），电流、电压互感器宜在一个柜内；在电流、电压互感器分柜的情况下，电能表应安装在电流互感器柜内。</w:t>
      </w:r>
    </w:p>
    <w:p w14:paraId="1786BC32"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光储充检一体化充电站配置的电流、电压互感器精度要求、接线方式及其他技术要求应符合DL/T 448的要求。</w:t>
      </w:r>
    </w:p>
    <w:p w14:paraId="26EE9B50" w14:textId="77777777" w:rsidR="0051782D" w:rsidRDefault="00000000">
      <w:pPr>
        <w:pStyle w:val="a1"/>
        <w:ind w:left="0"/>
        <w:outlineLvl w:val="0"/>
        <w:rPr>
          <w:rFonts w:hAnsi="黑体" w:cs="黑体" w:hint="eastAsia"/>
        </w:rPr>
      </w:pPr>
      <w:bookmarkStart w:id="370" w:name="_Toc25988"/>
      <w:bookmarkStart w:id="371" w:name="_Toc3751"/>
      <w:bookmarkStart w:id="372" w:name="_Toc3507"/>
      <w:bookmarkStart w:id="373" w:name="_Toc2080"/>
      <w:bookmarkStart w:id="374" w:name="_Toc24293"/>
      <w:bookmarkStart w:id="375" w:name="_Toc572"/>
      <w:bookmarkStart w:id="376" w:name="_Toc8572"/>
      <w:r>
        <w:rPr>
          <w:rFonts w:hAnsi="黑体" w:cs="黑体" w:hint="eastAsia"/>
        </w:rPr>
        <w:t>电能质量</w:t>
      </w:r>
      <w:bookmarkEnd w:id="370"/>
      <w:bookmarkEnd w:id="371"/>
      <w:bookmarkEnd w:id="372"/>
      <w:bookmarkEnd w:id="373"/>
      <w:bookmarkEnd w:id="374"/>
      <w:bookmarkEnd w:id="375"/>
      <w:bookmarkEnd w:id="376"/>
    </w:p>
    <w:p w14:paraId="2AC91B0A" w14:textId="77777777" w:rsidR="0051782D" w:rsidRDefault="00000000">
      <w:pPr>
        <w:pStyle w:val="a2"/>
        <w:ind w:left="0"/>
        <w:outlineLvl w:val="1"/>
        <w:rPr>
          <w:rFonts w:hAnsi="黑体" w:cs="黑体" w:hint="eastAsia"/>
        </w:rPr>
      </w:pPr>
      <w:bookmarkStart w:id="377" w:name="_Toc17351"/>
      <w:bookmarkStart w:id="378" w:name="_Toc17454"/>
      <w:bookmarkStart w:id="379" w:name="_Toc23886"/>
      <w:bookmarkStart w:id="380" w:name="_Toc4615"/>
      <w:bookmarkStart w:id="381" w:name="_Toc12552"/>
      <w:bookmarkStart w:id="382" w:name="_Toc17673"/>
      <w:bookmarkStart w:id="383" w:name="_Toc26878"/>
      <w:r>
        <w:rPr>
          <w:rFonts w:hAnsi="黑体" w:cs="黑体" w:hint="eastAsia"/>
        </w:rPr>
        <w:lastRenderedPageBreak/>
        <w:t>谐波</w:t>
      </w:r>
      <w:bookmarkEnd w:id="377"/>
      <w:bookmarkEnd w:id="378"/>
      <w:bookmarkEnd w:id="379"/>
      <w:bookmarkEnd w:id="380"/>
      <w:bookmarkEnd w:id="381"/>
      <w:bookmarkEnd w:id="382"/>
      <w:bookmarkEnd w:id="383"/>
    </w:p>
    <w:p w14:paraId="001F1359"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光储充检一体化充电站接入配电网，公共连接点的谐波电压（相电压）限值应符合GB/T 14549规定，电压总谐波畸变率、各次谐波电压含有率应满足表A.6要求。</w:t>
      </w:r>
    </w:p>
    <w:p w14:paraId="4335E019" w14:textId="77777777" w:rsidR="0051782D" w:rsidRDefault="00000000">
      <w:pPr>
        <w:pStyle w:val="ad"/>
        <w:tabs>
          <w:tab w:val="clear" w:pos="180"/>
        </w:tabs>
        <w:spacing w:before="156" w:after="156"/>
        <w:ind w:left="567" w:hanging="567"/>
        <w:outlineLvl w:val="2"/>
      </w:pPr>
      <w:bookmarkStart w:id="384" w:name="_Toc13809"/>
      <w:bookmarkStart w:id="385" w:name="_Toc27777"/>
      <w:r>
        <w:rPr>
          <w:rFonts w:hint="eastAsia"/>
        </w:rPr>
        <w:t>光储充检一体化充电站接入配电网的连接点谐波电压（相电压）限值</w:t>
      </w:r>
      <w:bookmarkEnd w:id="384"/>
      <w:bookmarkEnd w:id="385"/>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9"/>
        <w:gridCol w:w="2537"/>
        <w:gridCol w:w="2114"/>
        <w:gridCol w:w="2390"/>
      </w:tblGrid>
      <w:tr w:rsidR="0051782D" w14:paraId="60D8E0DD" w14:textId="77777777">
        <w:tc>
          <w:tcPr>
            <w:tcW w:w="2529" w:type="dxa"/>
            <w:vMerge w:val="restart"/>
            <w:tcBorders>
              <w:top w:val="single" w:sz="8" w:space="0" w:color="auto"/>
            </w:tcBorders>
          </w:tcPr>
          <w:p w14:paraId="04E303B7" w14:textId="77777777" w:rsidR="0051782D" w:rsidRDefault="00000000">
            <w:pPr>
              <w:pStyle w:val="aff6"/>
              <w:ind w:firstLineChars="0" w:firstLine="0"/>
              <w:jc w:val="center"/>
              <w:rPr>
                <w:sz w:val="18"/>
              </w:rPr>
            </w:pPr>
            <w:r>
              <w:rPr>
                <w:rFonts w:hint="eastAsia"/>
                <w:sz w:val="18"/>
              </w:rPr>
              <w:t>电网标称电压</w:t>
            </w:r>
          </w:p>
          <w:p w14:paraId="1412432C" w14:textId="77777777" w:rsidR="0051782D" w:rsidRDefault="00000000">
            <w:pPr>
              <w:pStyle w:val="aff6"/>
              <w:ind w:firstLineChars="0" w:firstLine="0"/>
              <w:jc w:val="center"/>
              <w:rPr>
                <w:sz w:val="18"/>
              </w:rPr>
            </w:pPr>
            <w:r>
              <w:rPr>
                <w:rFonts w:hint="eastAsia"/>
                <w:sz w:val="18"/>
              </w:rPr>
              <w:t>kV</w:t>
            </w:r>
          </w:p>
        </w:tc>
        <w:tc>
          <w:tcPr>
            <w:tcW w:w="2537" w:type="dxa"/>
            <w:vMerge w:val="restart"/>
            <w:tcBorders>
              <w:top w:val="single" w:sz="8" w:space="0" w:color="auto"/>
            </w:tcBorders>
          </w:tcPr>
          <w:p w14:paraId="1BA7B199" w14:textId="77777777" w:rsidR="0051782D" w:rsidRDefault="00000000">
            <w:pPr>
              <w:pStyle w:val="aff6"/>
              <w:ind w:firstLineChars="0" w:firstLine="0"/>
              <w:jc w:val="center"/>
              <w:rPr>
                <w:sz w:val="18"/>
              </w:rPr>
            </w:pPr>
            <w:r>
              <w:rPr>
                <w:rFonts w:hint="eastAsia"/>
                <w:sz w:val="18"/>
              </w:rPr>
              <w:t>电压总谐波畸变率</w:t>
            </w:r>
          </w:p>
          <w:p w14:paraId="0B55006B" w14:textId="77777777" w:rsidR="0051782D" w:rsidRDefault="00000000">
            <w:pPr>
              <w:pStyle w:val="aff6"/>
              <w:ind w:firstLineChars="0" w:firstLine="0"/>
              <w:jc w:val="center"/>
              <w:rPr>
                <w:sz w:val="18"/>
              </w:rPr>
            </w:pPr>
            <w:r>
              <w:rPr>
                <w:rFonts w:hint="eastAsia"/>
                <w:sz w:val="18"/>
              </w:rPr>
              <w:t>%</w:t>
            </w:r>
          </w:p>
        </w:tc>
        <w:tc>
          <w:tcPr>
            <w:tcW w:w="4504" w:type="dxa"/>
            <w:gridSpan w:val="2"/>
            <w:tcBorders>
              <w:top w:val="single" w:sz="8" w:space="0" w:color="auto"/>
              <w:bottom w:val="single" w:sz="8" w:space="0" w:color="auto"/>
            </w:tcBorders>
          </w:tcPr>
          <w:p w14:paraId="56FDC76F" w14:textId="77777777" w:rsidR="0051782D" w:rsidRDefault="00000000">
            <w:pPr>
              <w:pStyle w:val="aff6"/>
              <w:ind w:firstLineChars="0" w:firstLine="0"/>
              <w:jc w:val="center"/>
              <w:rPr>
                <w:sz w:val="18"/>
              </w:rPr>
            </w:pPr>
            <w:r>
              <w:rPr>
                <w:rFonts w:hint="eastAsia"/>
                <w:sz w:val="18"/>
              </w:rPr>
              <w:t>各次谐波电压含有率，%</w:t>
            </w:r>
          </w:p>
        </w:tc>
      </w:tr>
      <w:tr w:rsidR="0051782D" w14:paraId="41DED3CC" w14:textId="77777777">
        <w:tc>
          <w:tcPr>
            <w:tcW w:w="2529" w:type="dxa"/>
            <w:vMerge/>
            <w:tcBorders>
              <w:bottom w:val="single" w:sz="8" w:space="0" w:color="auto"/>
            </w:tcBorders>
          </w:tcPr>
          <w:p w14:paraId="7B375B91" w14:textId="77777777" w:rsidR="0051782D" w:rsidRDefault="0051782D">
            <w:pPr>
              <w:pStyle w:val="aff6"/>
              <w:ind w:left="544" w:firstLineChars="0" w:firstLine="0"/>
              <w:jc w:val="center"/>
              <w:rPr>
                <w:sz w:val="18"/>
              </w:rPr>
            </w:pPr>
          </w:p>
        </w:tc>
        <w:tc>
          <w:tcPr>
            <w:tcW w:w="2537" w:type="dxa"/>
            <w:vMerge/>
            <w:tcBorders>
              <w:bottom w:val="single" w:sz="8" w:space="0" w:color="auto"/>
            </w:tcBorders>
          </w:tcPr>
          <w:p w14:paraId="15C0CF5A" w14:textId="77777777" w:rsidR="0051782D" w:rsidRDefault="0051782D">
            <w:pPr>
              <w:pStyle w:val="aff6"/>
              <w:ind w:left="363" w:firstLineChars="0" w:firstLine="0"/>
              <w:jc w:val="center"/>
              <w:rPr>
                <w:sz w:val="18"/>
              </w:rPr>
            </w:pPr>
          </w:p>
        </w:tc>
        <w:tc>
          <w:tcPr>
            <w:tcW w:w="2114" w:type="dxa"/>
            <w:tcBorders>
              <w:top w:val="single" w:sz="4" w:space="0" w:color="auto"/>
              <w:bottom w:val="single" w:sz="8" w:space="0" w:color="auto"/>
            </w:tcBorders>
          </w:tcPr>
          <w:p w14:paraId="20DF64F9" w14:textId="77777777" w:rsidR="0051782D" w:rsidRDefault="00000000">
            <w:pPr>
              <w:pStyle w:val="aff6"/>
              <w:ind w:firstLineChars="0" w:firstLine="0"/>
              <w:jc w:val="center"/>
              <w:rPr>
                <w:sz w:val="18"/>
              </w:rPr>
            </w:pPr>
            <w:r>
              <w:rPr>
                <w:rFonts w:hint="eastAsia"/>
                <w:sz w:val="18"/>
              </w:rPr>
              <w:t>奇次</w:t>
            </w:r>
          </w:p>
        </w:tc>
        <w:tc>
          <w:tcPr>
            <w:tcW w:w="2390" w:type="dxa"/>
            <w:tcBorders>
              <w:top w:val="single" w:sz="4" w:space="0" w:color="auto"/>
              <w:bottom w:val="single" w:sz="8" w:space="0" w:color="auto"/>
            </w:tcBorders>
          </w:tcPr>
          <w:p w14:paraId="35315D8E" w14:textId="77777777" w:rsidR="0051782D" w:rsidRDefault="00000000">
            <w:pPr>
              <w:pStyle w:val="aff6"/>
              <w:ind w:firstLineChars="0" w:firstLine="0"/>
              <w:jc w:val="center"/>
              <w:rPr>
                <w:sz w:val="18"/>
              </w:rPr>
            </w:pPr>
            <w:r>
              <w:rPr>
                <w:rFonts w:hint="eastAsia"/>
                <w:sz w:val="18"/>
              </w:rPr>
              <w:t>偶次</w:t>
            </w:r>
          </w:p>
        </w:tc>
      </w:tr>
      <w:tr w:rsidR="0051782D" w14:paraId="27561A2C" w14:textId="77777777">
        <w:tc>
          <w:tcPr>
            <w:tcW w:w="2529" w:type="dxa"/>
            <w:tcBorders>
              <w:top w:val="single" w:sz="8" w:space="0" w:color="auto"/>
            </w:tcBorders>
          </w:tcPr>
          <w:p w14:paraId="1C701054" w14:textId="77777777" w:rsidR="0051782D" w:rsidRDefault="00000000">
            <w:pPr>
              <w:pStyle w:val="a"/>
              <w:numPr>
                <w:ilvl w:val="0"/>
                <w:numId w:val="0"/>
              </w:numPr>
              <w:jc w:val="center"/>
            </w:pPr>
            <w:r>
              <w:rPr>
                <w:rFonts w:hint="eastAsia"/>
              </w:rPr>
              <w:t>0.38</w:t>
            </w:r>
          </w:p>
        </w:tc>
        <w:tc>
          <w:tcPr>
            <w:tcW w:w="2537" w:type="dxa"/>
            <w:tcBorders>
              <w:top w:val="single" w:sz="8" w:space="0" w:color="auto"/>
            </w:tcBorders>
          </w:tcPr>
          <w:p w14:paraId="122F2A7B" w14:textId="77777777" w:rsidR="0051782D" w:rsidRDefault="00000000">
            <w:pPr>
              <w:pStyle w:val="a"/>
              <w:numPr>
                <w:ilvl w:val="0"/>
                <w:numId w:val="0"/>
              </w:numPr>
              <w:jc w:val="center"/>
            </w:pPr>
            <w:r>
              <w:rPr>
                <w:rFonts w:hint="eastAsia"/>
              </w:rPr>
              <w:t>5.0</w:t>
            </w:r>
          </w:p>
        </w:tc>
        <w:tc>
          <w:tcPr>
            <w:tcW w:w="2114" w:type="dxa"/>
            <w:tcBorders>
              <w:top w:val="single" w:sz="8" w:space="0" w:color="auto"/>
            </w:tcBorders>
          </w:tcPr>
          <w:p w14:paraId="367D5A7F" w14:textId="77777777" w:rsidR="0051782D" w:rsidRDefault="00000000">
            <w:pPr>
              <w:pStyle w:val="a"/>
              <w:numPr>
                <w:ilvl w:val="0"/>
                <w:numId w:val="0"/>
              </w:numPr>
              <w:jc w:val="center"/>
            </w:pPr>
            <w:r>
              <w:rPr>
                <w:rFonts w:hint="eastAsia"/>
              </w:rPr>
              <w:t>4.0</w:t>
            </w:r>
          </w:p>
        </w:tc>
        <w:tc>
          <w:tcPr>
            <w:tcW w:w="2390" w:type="dxa"/>
            <w:tcBorders>
              <w:top w:val="single" w:sz="8" w:space="0" w:color="auto"/>
            </w:tcBorders>
          </w:tcPr>
          <w:p w14:paraId="02057B41" w14:textId="77777777" w:rsidR="0051782D" w:rsidRDefault="00000000">
            <w:pPr>
              <w:pStyle w:val="a"/>
              <w:numPr>
                <w:ilvl w:val="0"/>
                <w:numId w:val="0"/>
              </w:numPr>
              <w:jc w:val="center"/>
            </w:pPr>
            <w:r>
              <w:rPr>
                <w:rFonts w:hint="eastAsia"/>
              </w:rPr>
              <w:t>2.0</w:t>
            </w:r>
          </w:p>
        </w:tc>
      </w:tr>
      <w:tr w:rsidR="0051782D" w14:paraId="4B4016F0" w14:textId="77777777">
        <w:trPr>
          <w:trHeight w:val="322"/>
        </w:trPr>
        <w:tc>
          <w:tcPr>
            <w:tcW w:w="2529" w:type="dxa"/>
            <w:tcBorders>
              <w:top w:val="single" w:sz="8" w:space="0" w:color="auto"/>
            </w:tcBorders>
          </w:tcPr>
          <w:p w14:paraId="2D36CE3F" w14:textId="77777777" w:rsidR="0051782D" w:rsidRDefault="00000000">
            <w:pPr>
              <w:pStyle w:val="a"/>
              <w:numPr>
                <w:ilvl w:val="0"/>
                <w:numId w:val="0"/>
              </w:numPr>
              <w:jc w:val="center"/>
            </w:pPr>
            <w:r>
              <w:rPr>
                <w:rFonts w:hint="eastAsia"/>
              </w:rPr>
              <w:t>10</w:t>
            </w:r>
          </w:p>
        </w:tc>
        <w:tc>
          <w:tcPr>
            <w:tcW w:w="2537" w:type="dxa"/>
            <w:tcBorders>
              <w:top w:val="single" w:sz="8" w:space="0" w:color="auto"/>
            </w:tcBorders>
            <w:vAlign w:val="center"/>
          </w:tcPr>
          <w:p w14:paraId="2A932393" w14:textId="77777777" w:rsidR="0051782D" w:rsidRDefault="00000000">
            <w:pPr>
              <w:pStyle w:val="a"/>
              <w:numPr>
                <w:ilvl w:val="0"/>
                <w:numId w:val="0"/>
              </w:numPr>
              <w:jc w:val="center"/>
            </w:pPr>
            <w:r>
              <w:rPr>
                <w:rFonts w:hint="eastAsia"/>
              </w:rPr>
              <w:t>4.0</w:t>
            </w:r>
          </w:p>
        </w:tc>
        <w:tc>
          <w:tcPr>
            <w:tcW w:w="2114" w:type="dxa"/>
            <w:tcBorders>
              <w:top w:val="single" w:sz="8" w:space="0" w:color="auto"/>
            </w:tcBorders>
            <w:vAlign w:val="center"/>
          </w:tcPr>
          <w:p w14:paraId="69C88C53" w14:textId="77777777" w:rsidR="0051782D" w:rsidRDefault="00000000">
            <w:pPr>
              <w:pStyle w:val="a"/>
              <w:numPr>
                <w:ilvl w:val="0"/>
                <w:numId w:val="0"/>
              </w:numPr>
              <w:jc w:val="center"/>
            </w:pPr>
            <w:r>
              <w:rPr>
                <w:rFonts w:hint="eastAsia"/>
              </w:rPr>
              <w:t>3.0</w:t>
            </w:r>
          </w:p>
        </w:tc>
        <w:tc>
          <w:tcPr>
            <w:tcW w:w="2390" w:type="dxa"/>
            <w:tcBorders>
              <w:top w:val="single" w:sz="8" w:space="0" w:color="auto"/>
            </w:tcBorders>
            <w:vAlign w:val="center"/>
          </w:tcPr>
          <w:p w14:paraId="4DBC48C2" w14:textId="77777777" w:rsidR="0051782D" w:rsidRDefault="00000000">
            <w:pPr>
              <w:pStyle w:val="a"/>
              <w:numPr>
                <w:ilvl w:val="0"/>
                <w:numId w:val="0"/>
              </w:numPr>
              <w:jc w:val="center"/>
            </w:pPr>
            <w:r>
              <w:rPr>
                <w:rFonts w:hint="eastAsia"/>
              </w:rPr>
              <w:t>1.5</w:t>
            </w:r>
          </w:p>
        </w:tc>
      </w:tr>
    </w:tbl>
    <w:p w14:paraId="74BCD491"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光储充检一体化充电站接入配电网，公共连接点的谐波电流分量（方均根值）允许值应符合GB/T 14549规定，即满足表A.7的要求。</w:t>
      </w:r>
    </w:p>
    <w:p w14:paraId="0B33C7A6" w14:textId="77777777" w:rsidR="0051782D" w:rsidRDefault="0051782D">
      <w:pPr>
        <w:pStyle w:val="aff6"/>
      </w:pPr>
    </w:p>
    <w:p w14:paraId="5C7EE047" w14:textId="77777777" w:rsidR="0051782D" w:rsidRDefault="00000000">
      <w:pPr>
        <w:pStyle w:val="ad"/>
        <w:tabs>
          <w:tab w:val="clear" w:pos="180"/>
        </w:tabs>
        <w:spacing w:before="156" w:after="156"/>
        <w:ind w:left="567" w:hanging="567"/>
        <w:outlineLvl w:val="2"/>
      </w:pPr>
      <w:bookmarkStart w:id="386" w:name="_Toc26512"/>
      <w:bookmarkStart w:id="387" w:name="_Toc11588"/>
      <w:r>
        <w:rPr>
          <w:rFonts w:hint="eastAsia"/>
        </w:rPr>
        <w:t>光储充检一体化充电站接入配电网的连接点谐波电流允许值</w:t>
      </w:r>
      <w:bookmarkEnd w:id="386"/>
      <w:bookmarkEnd w:id="387"/>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3"/>
        <w:gridCol w:w="859"/>
        <w:gridCol w:w="488"/>
        <w:gridCol w:w="488"/>
        <w:gridCol w:w="488"/>
        <w:gridCol w:w="488"/>
        <w:gridCol w:w="488"/>
        <w:gridCol w:w="488"/>
        <w:gridCol w:w="488"/>
        <w:gridCol w:w="488"/>
        <w:gridCol w:w="488"/>
        <w:gridCol w:w="488"/>
        <w:gridCol w:w="488"/>
        <w:gridCol w:w="488"/>
        <w:gridCol w:w="488"/>
        <w:gridCol w:w="488"/>
        <w:gridCol w:w="488"/>
        <w:gridCol w:w="498"/>
      </w:tblGrid>
      <w:tr w:rsidR="0051782D" w14:paraId="04C04CDF" w14:textId="77777777">
        <w:tc>
          <w:tcPr>
            <w:tcW w:w="893" w:type="dxa"/>
            <w:vMerge w:val="restart"/>
            <w:tcBorders>
              <w:top w:val="single" w:sz="8" w:space="0" w:color="auto"/>
            </w:tcBorders>
          </w:tcPr>
          <w:p w14:paraId="0A6EEDBF" w14:textId="77777777" w:rsidR="0051782D" w:rsidRDefault="00000000">
            <w:pPr>
              <w:pStyle w:val="aff6"/>
              <w:ind w:firstLineChars="0" w:firstLine="0"/>
              <w:jc w:val="center"/>
              <w:rPr>
                <w:sz w:val="18"/>
              </w:rPr>
            </w:pPr>
            <w:r>
              <w:rPr>
                <w:rFonts w:hint="eastAsia"/>
                <w:sz w:val="18"/>
              </w:rPr>
              <w:t>电网标称电压</w:t>
            </w:r>
          </w:p>
          <w:p w14:paraId="5CA365B8" w14:textId="77777777" w:rsidR="0051782D" w:rsidRDefault="00000000">
            <w:pPr>
              <w:pStyle w:val="aff6"/>
              <w:ind w:firstLineChars="0" w:firstLine="0"/>
              <w:jc w:val="center"/>
              <w:rPr>
                <w:sz w:val="18"/>
              </w:rPr>
            </w:pPr>
            <w:r>
              <w:rPr>
                <w:rFonts w:hint="eastAsia"/>
                <w:sz w:val="18"/>
              </w:rPr>
              <w:t>kV</w:t>
            </w:r>
          </w:p>
        </w:tc>
        <w:tc>
          <w:tcPr>
            <w:tcW w:w="859" w:type="dxa"/>
            <w:vMerge w:val="restart"/>
            <w:tcBorders>
              <w:top w:val="single" w:sz="8" w:space="0" w:color="auto"/>
            </w:tcBorders>
          </w:tcPr>
          <w:p w14:paraId="03821991" w14:textId="77777777" w:rsidR="0051782D" w:rsidRDefault="00000000">
            <w:pPr>
              <w:pStyle w:val="aff6"/>
              <w:ind w:firstLineChars="0" w:firstLine="0"/>
              <w:jc w:val="center"/>
              <w:rPr>
                <w:sz w:val="18"/>
              </w:rPr>
            </w:pPr>
            <w:r>
              <w:rPr>
                <w:rFonts w:hint="eastAsia"/>
                <w:sz w:val="18"/>
              </w:rPr>
              <w:t>基准短路容量</w:t>
            </w:r>
          </w:p>
          <w:p w14:paraId="311B7B5C" w14:textId="77777777" w:rsidR="0051782D" w:rsidRDefault="00000000">
            <w:pPr>
              <w:pStyle w:val="aff6"/>
              <w:ind w:firstLineChars="0" w:firstLine="0"/>
              <w:jc w:val="center"/>
              <w:rPr>
                <w:sz w:val="18"/>
              </w:rPr>
            </w:pPr>
            <w:r>
              <w:rPr>
                <w:rFonts w:hint="eastAsia"/>
                <w:sz w:val="18"/>
              </w:rPr>
              <w:t>MVA</w:t>
            </w:r>
          </w:p>
        </w:tc>
        <w:tc>
          <w:tcPr>
            <w:tcW w:w="7818" w:type="dxa"/>
            <w:gridSpan w:val="16"/>
            <w:tcBorders>
              <w:top w:val="single" w:sz="8" w:space="0" w:color="auto"/>
              <w:bottom w:val="single" w:sz="8" w:space="0" w:color="auto"/>
            </w:tcBorders>
          </w:tcPr>
          <w:p w14:paraId="06584E4B" w14:textId="77777777" w:rsidR="0051782D" w:rsidRDefault="00000000">
            <w:pPr>
              <w:pStyle w:val="aff6"/>
              <w:ind w:firstLineChars="0" w:firstLine="0"/>
              <w:jc w:val="center"/>
              <w:rPr>
                <w:sz w:val="18"/>
              </w:rPr>
            </w:pPr>
            <w:r>
              <w:rPr>
                <w:rFonts w:hint="eastAsia"/>
                <w:sz w:val="18"/>
              </w:rPr>
              <w:t>谐波次数对应谐波电流允许值，A</w:t>
            </w:r>
          </w:p>
        </w:tc>
      </w:tr>
      <w:tr w:rsidR="0051782D" w14:paraId="569B9A67" w14:textId="77777777">
        <w:tc>
          <w:tcPr>
            <w:tcW w:w="893" w:type="dxa"/>
            <w:vMerge/>
            <w:tcBorders>
              <w:bottom w:val="single" w:sz="8" w:space="0" w:color="auto"/>
            </w:tcBorders>
          </w:tcPr>
          <w:p w14:paraId="6051AE46" w14:textId="77777777" w:rsidR="0051782D" w:rsidRDefault="0051782D">
            <w:pPr>
              <w:pStyle w:val="aff6"/>
              <w:ind w:left="544" w:firstLineChars="0" w:firstLine="0"/>
              <w:jc w:val="center"/>
              <w:rPr>
                <w:sz w:val="18"/>
              </w:rPr>
            </w:pPr>
          </w:p>
        </w:tc>
        <w:tc>
          <w:tcPr>
            <w:tcW w:w="859" w:type="dxa"/>
            <w:vMerge/>
            <w:tcBorders>
              <w:bottom w:val="single" w:sz="8" w:space="0" w:color="auto"/>
            </w:tcBorders>
          </w:tcPr>
          <w:p w14:paraId="3897942A" w14:textId="77777777" w:rsidR="0051782D" w:rsidRDefault="0051782D">
            <w:pPr>
              <w:pStyle w:val="aff6"/>
              <w:ind w:left="363" w:firstLineChars="0" w:firstLine="0"/>
              <w:jc w:val="center"/>
              <w:rPr>
                <w:sz w:val="18"/>
              </w:rPr>
            </w:pPr>
          </w:p>
        </w:tc>
        <w:tc>
          <w:tcPr>
            <w:tcW w:w="488" w:type="dxa"/>
            <w:tcBorders>
              <w:top w:val="single" w:sz="4" w:space="0" w:color="auto"/>
              <w:bottom w:val="single" w:sz="8" w:space="0" w:color="auto"/>
            </w:tcBorders>
            <w:vAlign w:val="center"/>
          </w:tcPr>
          <w:p w14:paraId="2A1BD5D8" w14:textId="77777777" w:rsidR="0051782D" w:rsidRDefault="00000000">
            <w:pPr>
              <w:pStyle w:val="aff6"/>
              <w:ind w:firstLineChars="0" w:firstLine="0"/>
              <w:jc w:val="center"/>
              <w:rPr>
                <w:sz w:val="18"/>
              </w:rPr>
            </w:pPr>
            <w:r>
              <w:rPr>
                <w:rFonts w:hint="eastAsia"/>
                <w:sz w:val="18"/>
              </w:rPr>
              <w:t>2</w:t>
            </w:r>
          </w:p>
        </w:tc>
        <w:tc>
          <w:tcPr>
            <w:tcW w:w="488" w:type="dxa"/>
            <w:tcBorders>
              <w:top w:val="single" w:sz="4" w:space="0" w:color="auto"/>
              <w:bottom w:val="single" w:sz="8" w:space="0" w:color="auto"/>
            </w:tcBorders>
            <w:vAlign w:val="center"/>
          </w:tcPr>
          <w:p w14:paraId="08E776FF" w14:textId="77777777" w:rsidR="0051782D" w:rsidRDefault="00000000">
            <w:pPr>
              <w:pStyle w:val="aff6"/>
              <w:ind w:firstLineChars="0" w:firstLine="0"/>
              <w:jc w:val="center"/>
              <w:rPr>
                <w:sz w:val="18"/>
              </w:rPr>
            </w:pPr>
            <w:r>
              <w:rPr>
                <w:rFonts w:hint="eastAsia"/>
                <w:sz w:val="18"/>
              </w:rPr>
              <w:t>3</w:t>
            </w:r>
          </w:p>
        </w:tc>
        <w:tc>
          <w:tcPr>
            <w:tcW w:w="488" w:type="dxa"/>
            <w:tcBorders>
              <w:top w:val="single" w:sz="4" w:space="0" w:color="auto"/>
              <w:bottom w:val="single" w:sz="8" w:space="0" w:color="auto"/>
            </w:tcBorders>
            <w:vAlign w:val="center"/>
          </w:tcPr>
          <w:p w14:paraId="32CCB89A" w14:textId="77777777" w:rsidR="0051782D" w:rsidRDefault="00000000">
            <w:pPr>
              <w:pStyle w:val="aff6"/>
              <w:ind w:firstLineChars="0" w:firstLine="0"/>
              <w:jc w:val="center"/>
              <w:rPr>
                <w:sz w:val="18"/>
              </w:rPr>
            </w:pPr>
            <w:r>
              <w:rPr>
                <w:rFonts w:hint="eastAsia"/>
                <w:sz w:val="18"/>
              </w:rPr>
              <w:t>4</w:t>
            </w:r>
          </w:p>
        </w:tc>
        <w:tc>
          <w:tcPr>
            <w:tcW w:w="488" w:type="dxa"/>
            <w:tcBorders>
              <w:top w:val="single" w:sz="4" w:space="0" w:color="auto"/>
              <w:bottom w:val="single" w:sz="8" w:space="0" w:color="auto"/>
            </w:tcBorders>
            <w:vAlign w:val="center"/>
          </w:tcPr>
          <w:p w14:paraId="72D2CCFA" w14:textId="77777777" w:rsidR="0051782D" w:rsidRDefault="00000000">
            <w:pPr>
              <w:pStyle w:val="aff6"/>
              <w:ind w:firstLineChars="0" w:firstLine="0"/>
              <w:jc w:val="center"/>
              <w:rPr>
                <w:sz w:val="18"/>
              </w:rPr>
            </w:pPr>
            <w:r>
              <w:rPr>
                <w:rFonts w:hint="eastAsia"/>
                <w:sz w:val="18"/>
              </w:rPr>
              <w:t>5</w:t>
            </w:r>
          </w:p>
        </w:tc>
        <w:tc>
          <w:tcPr>
            <w:tcW w:w="488" w:type="dxa"/>
            <w:tcBorders>
              <w:top w:val="single" w:sz="4" w:space="0" w:color="auto"/>
              <w:bottom w:val="single" w:sz="8" w:space="0" w:color="auto"/>
            </w:tcBorders>
            <w:vAlign w:val="center"/>
          </w:tcPr>
          <w:p w14:paraId="1C0E7547" w14:textId="77777777" w:rsidR="0051782D" w:rsidRDefault="00000000">
            <w:pPr>
              <w:pStyle w:val="aff6"/>
              <w:ind w:firstLineChars="0" w:firstLine="0"/>
              <w:jc w:val="center"/>
              <w:rPr>
                <w:sz w:val="18"/>
              </w:rPr>
            </w:pPr>
            <w:r>
              <w:rPr>
                <w:rFonts w:hint="eastAsia"/>
                <w:sz w:val="18"/>
              </w:rPr>
              <w:t>6</w:t>
            </w:r>
          </w:p>
        </w:tc>
        <w:tc>
          <w:tcPr>
            <w:tcW w:w="488" w:type="dxa"/>
            <w:tcBorders>
              <w:top w:val="single" w:sz="4" w:space="0" w:color="auto"/>
              <w:bottom w:val="single" w:sz="8" w:space="0" w:color="auto"/>
            </w:tcBorders>
            <w:vAlign w:val="center"/>
          </w:tcPr>
          <w:p w14:paraId="71B5F257" w14:textId="77777777" w:rsidR="0051782D" w:rsidRDefault="00000000">
            <w:pPr>
              <w:pStyle w:val="aff6"/>
              <w:ind w:firstLineChars="0" w:firstLine="0"/>
              <w:jc w:val="center"/>
              <w:rPr>
                <w:sz w:val="18"/>
              </w:rPr>
            </w:pPr>
            <w:r>
              <w:rPr>
                <w:rFonts w:hint="eastAsia"/>
                <w:sz w:val="18"/>
              </w:rPr>
              <w:t>7</w:t>
            </w:r>
          </w:p>
        </w:tc>
        <w:tc>
          <w:tcPr>
            <w:tcW w:w="488" w:type="dxa"/>
            <w:tcBorders>
              <w:top w:val="single" w:sz="4" w:space="0" w:color="auto"/>
              <w:bottom w:val="single" w:sz="8" w:space="0" w:color="auto"/>
            </w:tcBorders>
            <w:vAlign w:val="center"/>
          </w:tcPr>
          <w:p w14:paraId="6C1EF3BB" w14:textId="77777777" w:rsidR="0051782D" w:rsidRDefault="00000000">
            <w:pPr>
              <w:pStyle w:val="aff6"/>
              <w:ind w:firstLineChars="0" w:firstLine="0"/>
              <w:jc w:val="center"/>
              <w:rPr>
                <w:sz w:val="18"/>
              </w:rPr>
            </w:pPr>
            <w:r>
              <w:rPr>
                <w:rFonts w:hint="eastAsia"/>
                <w:sz w:val="18"/>
              </w:rPr>
              <w:t>8</w:t>
            </w:r>
          </w:p>
        </w:tc>
        <w:tc>
          <w:tcPr>
            <w:tcW w:w="488" w:type="dxa"/>
            <w:tcBorders>
              <w:top w:val="single" w:sz="4" w:space="0" w:color="auto"/>
              <w:bottom w:val="single" w:sz="8" w:space="0" w:color="auto"/>
            </w:tcBorders>
            <w:vAlign w:val="center"/>
          </w:tcPr>
          <w:p w14:paraId="7A793E26" w14:textId="77777777" w:rsidR="0051782D" w:rsidRDefault="00000000">
            <w:pPr>
              <w:pStyle w:val="aff6"/>
              <w:ind w:firstLineChars="0" w:firstLine="0"/>
              <w:jc w:val="center"/>
              <w:rPr>
                <w:sz w:val="18"/>
              </w:rPr>
            </w:pPr>
            <w:r>
              <w:rPr>
                <w:rFonts w:hint="eastAsia"/>
                <w:sz w:val="18"/>
              </w:rPr>
              <w:t>9</w:t>
            </w:r>
          </w:p>
        </w:tc>
        <w:tc>
          <w:tcPr>
            <w:tcW w:w="488" w:type="dxa"/>
            <w:tcBorders>
              <w:top w:val="single" w:sz="4" w:space="0" w:color="auto"/>
              <w:bottom w:val="single" w:sz="8" w:space="0" w:color="auto"/>
            </w:tcBorders>
            <w:vAlign w:val="center"/>
          </w:tcPr>
          <w:p w14:paraId="18522354" w14:textId="77777777" w:rsidR="0051782D" w:rsidRDefault="00000000">
            <w:pPr>
              <w:pStyle w:val="aff6"/>
              <w:ind w:firstLineChars="0" w:firstLine="0"/>
              <w:jc w:val="center"/>
              <w:rPr>
                <w:sz w:val="18"/>
              </w:rPr>
            </w:pPr>
            <w:r>
              <w:rPr>
                <w:rFonts w:hint="eastAsia"/>
                <w:sz w:val="18"/>
              </w:rPr>
              <w:t>10</w:t>
            </w:r>
          </w:p>
        </w:tc>
        <w:tc>
          <w:tcPr>
            <w:tcW w:w="488" w:type="dxa"/>
            <w:tcBorders>
              <w:top w:val="single" w:sz="4" w:space="0" w:color="auto"/>
              <w:bottom w:val="single" w:sz="8" w:space="0" w:color="auto"/>
            </w:tcBorders>
            <w:vAlign w:val="center"/>
          </w:tcPr>
          <w:p w14:paraId="22221A2B" w14:textId="77777777" w:rsidR="0051782D" w:rsidRDefault="00000000">
            <w:pPr>
              <w:pStyle w:val="aff6"/>
              <w:ind w:firstLineChars="0" w:firstLine="0"/>
              <w:jc w:val="center"/>
              <w:rPr>
                <w:sz w:val="18"/>
              </w:rPr>
            </w:pPr>
            <w:r>
              <w:rPr>
                <w:rFonts w:hint="eastAsia"/>
                <w:sz w:val="18"/>
              </w:rPr>
              <w:t>11</w:t>
            </w:r>
          </w:p>
        </w:tc>
        <w:tc>
          <w:tcPr>
            <w:tcW w:w="488" w:type="dxa"/>
            <w:tcBorders>
              <w:top w:val="single" w:sz="4" w:space="0" w:color="auto"/>
              <w:bottom w:val="single" w:sz="8" w:space="0" w:color="auto"/>
            </w:tcBorders>
            <w:vAlign w:val="center"/>
          </w:tcPr>
          <w:p w14:paraId="1152B67F" w14:textId="77777777" w:rsidR="0051782D" w:rsidRDefault="00000000">
            <w:pPr>
              <w:pStyle w:val="aff6"/>
              <w:ind w:firstLineChars="0" w:firstLine="0"/>
              <w:jc w:val="center"/>
              <w:rPr>
                <w:sz w:val="18"/>
              </w:rPr>
            </w:pPr>
            <w:r>
              <w:rPr>
                <w:rFonts w:hint="eastAsia"/>
                <w:sz w:val="18"/>
              </w:rPr>
              <w:t>12</w:t>
            </w:r>
          </w:p>
        </w:tc>
        <w:tc>
          <w:tcPr>
            <w:tcW w:w="488" w:type="dxa"/>
            <w:tcBorders>
              <w:top w:val="single" w:sz="4" w:space="0" w:color="auto"/>
              <w:bottom w:val="single" w:sz="8" w:space="0" w:color="auto"/>
            </w:tcBorders>
            <w:vAlign w:val="center"/>
          </w:tcPr>
          <w:p w14:paraId="2D2FD591" w14:textId="77777777" w:rsidR="0051782D" w:rsidRDefault="00000000">
            <w:pPr>
              <w:pStyle w:val="aff6"/>
              <w:ind w:firstLineChars="0" w:firstLine="0"/>
              <w:jc w:val="center"/>
              <w:rPr>
                <w:sz w:val="18"/>
              </w:rPr>
            </w:pPr>
            <w:r>
              <w:rPr>
                <w:rFonts w:hint="eastAsia"/>
                <w:sz w:val="18"/>
              </w:rPr>
              <w:t>13</w:t>
            </w:r>
          </w:p>
        </w:tc>
        <w:tc>
          <w:tcPr>
            <w:tcW w:w="488" w:type="dxa"/>
            <w:tcBorders>
              <w:top w:val="single" w:sz="4" w:space="0" w:color="auto"/>
              <w:bottom w:val="single" w:sz="8" w:space="0" w:color="auto"/>
            </w:tcBorders>
            <w:vAlign w:val="center"/>
          </w:tcPr>
          <w:p w14:paraId="1F20F4B1" w14:textId="77777777" w:rsidR="0051782D" w:rsidRDefault="00000000">
            <w:pPr>
              <w:pStyle w:val="aff6"/>
              <w:ind w:firstLineChars="0" w:firstLine="0"/>
              <w:jc w:val="center"/>
              <w:rPr>
                <w:sz w:val="18"/>
              </w:rPr>
            </w:pPr>
            <w:r>
              <w:rPr>
                <w:rFonts w:hint="eastAsia"/>
                <w:sz w:val="18"/>
              </w:rPr>
              <w:t>14</w:t>
            </w:r>
          </w:p>
        </w:tc>
        <w:tc>
          <w:tcPr>
            <w:tcW w:w="488" w:type="dxa"/>
            <w:tcBorders>
              <w:top w:val="single" w:sz="4" w:space="0" w:color="auto"/>
              <w:bottom w:val="single" w:sz="8" w:space="0" w:color="auto"/>
            </w:tcBorders>
            <w:vAlign w:val="center"/>
          </w:tcPr>
          <w:p w14:paraId="4E57FC0C" w14:textId="77777777" w:rsidR="0051782D" w:rsidRDefault="00000000">
            <w:pPr>
              <w:pStyle w:val="aff6"/>
              <w:ind w:firstLineChars="0" w:firstLine="0"/>
              <w:jc w:val="center"/>
              <w:rPr>
                <w:sz w:val="18"/>
              </w:rPr>
            </w:pPr>
            <w:r>
              <w:rPr>
                <w:rFonts w:hint="eastAsia"/>
                <w:sz w:val="18"/>
              </w:rPr>
              <w:t>15</w:t>
            </w:r>
          </w:p>
        </w:tc>
        <w:tc>
          <w:tcPr>
            <w:tcW w:w="488" w:type="dxa"/>
            <w:tcBorders>
              <w:top w:val="single" w:sz="4" w:space="0" w:color="auto"/>
              <w:bottom w:val="single" w:sz="8" w:space="0" w:color="auto"/>
            </w:tcBorders>
            <w:vAlign w:val="center"/>
          </w:tcPr>
          <w:p w14:paraId="206D38B8" w14:textId="77777777" w:rsidR="0051782D" w:rsidRDefault="00000000">
            <w:pPr>
              <w:pStyle w:val="aff6"/>
              <w:ind w:firstLineChars="0" w:firstLine="0"/>
              <w:jc w:val="center"/>
              <w:rPr>
                <w:sz w:val="18"/>
              </w:rPr>
            </w:pPr>
            <w:r>
              <w:rPr>
                <w:rFonts w:hint="eastAsia"/>
                <w:sz w:val="18"/>
              </w:rPr>
              <w:t>16</w:t>
            </w:r>
          </w:p>
        </w:tc>
        <w:tc>
          <w:tcPr>
            <w:tcW w:w="498" w:type="dxa"/>
            <w:tcBorders>
              <w:top w:val="single" w:sz="4" w:space="0" w:color="auto"/>
              <w:bottom w:val="single" w:sz="8" w:space="0" w:color="auto"/>
            </w:tcBorders>
            <w:vAlign w:val="center"/>
          </w:tcPr>
          <w:p w14:paraId="1925B4F3" w14:textId="77777777" w:rsidR="0051782D" w:rsidRDefault="00000000">
            <w:pPr>
              <w:pStyle w:val="aff6"/>
              <w:ind w:firstLineChars="0" w:firstLine="0"/>
              <w:jc w:val="center"/>
              <w:rPr>
                <w:sz w:val="18"/>
              </w:rPr>
            </w:pPr>
            <w:r>
              <w:rPr>
                <w:rFonts w:hint="eastAsia"/>
                <w:sz w:val="18"/>
              </w:rPr>
              <w:t>17</w:t>
            </w:r>
          </w:p>
        </w:tc>
      </w:tr>
      <w:tr w:rsidR="0051782D" w14:paraId="1CC42F48" w14:textId="77777777">
        <w:trPr>
          <w:trHeight w:val="337"/>
        </w:trPr>
        <w:tc>
          <w:tcPr>
            <w:tcW w:w="893" w:type="dxa"/>
            <w:tcBorders>
              <w:top w:val="single" w:sz="8" w:space="0" w:color="auto"/>
            </w:tcBorders>
          </w:tcPr>
          <w:p w14:paraId="2A7F503D" w14:textId="77777777" w:rsidR="0051782D" w:rsidRDefault="00000000">
            <w:pPr>
              <w:pStyle w:val="a"/>
              <w:numPr>
                <w:ilvl w:val="0"/>
                <w:numId w:val="0"/>
              </w:numPr>
              <w:jc w:val="center"/>
            </w:pPr>
            <w:r>
              <w:rPr>
                <w:rFonts w:hint="eastAsia"/>
              </w:rPr>
              <w:t>0.38</w:t>
            </w:r>
          </w:p>
        </w:tc>
        <w:tc>
          <w:tcPr>
            <w:tcW w:w="859" w:type="dxa"/>
            <w:tcBorders>
              <w:top w:val="single" w:sz="8" w:space="0" w:color="auto"/>
            </w:tcBorders>
          </w:tcPr>
          <w:p w14:paraId="7136006F" w14:textId="77777777" w:rsidR="0051782D" w:rsidRDefault="00000000">
            <w:pPr>
              <w:pStyle w:val="a"/>
              <w:numPr>
                <w:ilvl w:val="0"/>
                <w:numId w:val="0"/>
              </w:numPr>
              <w:jc w:val="center"/>
            </w:pPr>
            <w:r>
              <w:rPr>
                <w:rFonts w:hint="eastAsia"/>
              </w:rPr>
              <w:t>10</w:t>
            </w:r>
          </w:p>
        </w:tc>
        <w:tc>
          <w:tcPr>
            <w:tcW w:w="488" w:type="dxa"/>
            <w:tcBorders>
              <w:top w:val="single" w:sz="8" w:space="0" w:color="auto"/>
            </w:tcBorders>
          </w:tcPr>
          <w:p w14:paraId="3FBB9F15" w14:textId="77777777" w:rsidR="0051782D" w:rsidRDefault="00000000">
            <w:pPr>
              <w:pStyle w:val="a"/>
              <w:numPr>
                <w:ilvl w:val="0"/>
                <w:numId w:val="0"/>
              </w:numPr>
              <w:jc w:val="center"/>
            </w:pPr>
            <w:r>
              <w:rPr>
                <w:rFonts w:hint="eastAsia"/>
              </w:rPr>
              <w:t>78</w:t>
            </w:r>
          </w:p>
        </w:tc>
        <w:tc>
          <w:tcPr>
            <w:tcW w:w="488" w:type="dxa"/>
            <w:tcBorders>
              <w:top w:val="single" w:sz="8" w:space="0" w:color="auto"/>
            </w:tcBorders>
          </w:tcPr>
          <w:p w14:paraId="1BD2ACBE" w14:textId="77777777" w:rsidR="0051782D" w:rsidRDefault="00000000">
            <w:pPr>
              <w:pStyle w:val="a"/>
              <w:numPr>
                <w:ilvl w:val="0"/>
                <w:numId w:val="0"/>
              </w:numPr>
              <w:jc w:val="center"/>
            </w:pPr>
            <w:r>
              <w:rPr>
                <w:rFonts w:hint="eastAsia"/>
              </w:rPr>
              <w:t>62</w:t>
            </w:r>
          </w:p>
        </w:tc>
        <w:tc>
          <w:tcPr>
            <w:tcW w:w="488" w:type="dxa"/>
            <w:tcBorders>
              <w:top w:val="single" w:sz="8" w:space="0" w:color="auto"/>
            </w:tcBorders>
          </w:tcPr>
          <w:p w14:paraId="7C39ACC4" w14:textId="77777777" w:rsidR="0051782D" w:rsidRDefault="00000000">
            <w:pPr>
              <w:pStyle w:val="a"/>
              <w:numPr>
                <w:ilvl w:val="0"/>
                <w:numId w:val="0"/>
              </w:numPr>
              <w:jc w:val="center"/>
            </w:pPr>
            <w:r>
              <w:rPr>
                <w:rFonts w:hint="eastAsia"/>
              </w:rPr>
              <w:t>39</w:t>
            </w:r>
          </w:p>
        </w:tc>
        <w:tc>
          <w:tcPr>
            <w:tcW w:w="488" w:type="dxa"/>
            <w:tcBorders>
              <w:top w:val="single" w:sz="8" w:space="0" w:color="auto"/>
            </w:tcBorders>
          </w:tcPr>
          <w:p w14:paraId="4BA5E0CD" w14:textId="77777777" w:rsidR="0051782D" w:rsidRDefault="00000000">
            <w:pPr>
              <w:pStyle w:val="a"/>
              <w:numPr>
                <w:ilvl w:val="0"/>
                <w:numId w:val="0"/>
              </w:numPr>
              <w:jc w:val="center"/>
            </w:pPr>
            <w:r>
              <w:rPr>
                <w:rFonts w:hint="eastAsia"/>
              </w:rPr>
              <w:t>62</w:t>
            </w:r>
          </w:p>
        </w:tc>
        <w:tc>
          <w:tcPr>
            <w:tcW w:w="488" w:type="dxa"/>
            <w:tcBorders>
              <w:top w:val="single" w:sz="8" w:space="0" w:color="auto"/>
            </w:tcBorders>
          </w:tcPr>
          <w:p w14:paraId="35ADED38" w14:textId="77777777" w:rsidR="0051782D" w:rsidRDefault="00000000">
            <w:pPr>
              <w:pStyle w:val="a"/>
              <w:numPr>
                <w:ilvl w:val="0"/>
                <w:numId w:val="0"/>
              </w:numPr>
              <w:jc w:val="center"/>
            </w:pPr>
            <w:r>
              <w:rPr>
                <w:rFonts w:hint="eastAsia"/>
              </w:rPr>
              <w:t>26</w:t>
            </w:r>
          </w:p>
        </w:tc>
        <w:tc>
          <w:tcPr>
            <w:tcW w:w="488" w:type="dxa"/>
            <w:tcBorders>
              <w:top w:val="single" w:sz="8" w:space="0" w:color="auto"/>
            </w:tcBorders>
          </w:tcPr>
          <w:p w14:paraId="6C724187" w14:textId="77777777" w:rsidR="0051782D" w:rsidRDefault="00000000">
            <w:pPr>
              <w:pStyle w:val="a"/>
              <w:numPr>
                <w:ilvl w:val="0"/>
                <w:numId w:val="0"/>
              </w:numPr>
              <w:jc w:val="center"/>
            </w:pPr>
            <w:r>
              <w:rPr>
                <w:rFonts w:hint="eastAsia"/>
              </w:rPr>
              <w:t>44</w:t>
            </w:r>
          </w:p>
        </w:tc>
        <w:tc>
          <w:tcPr>
            <w:tcW w:w="488" w:type="dxa"/>
            <w:tcBorders>
              <w:top w:val="single" w:sz="8" w:space="0" w:color="auto"/>
            </w:tcBorders>
          </w:tcPr>
          <w:p w14:paraId="7648BD1E" w14:textId="77777777" w:rsidR="0051782D" w:rsidRDefault="00000000">
            <w:pPr>
              <w:pStyle w:val="a"/>
              <w:numPr>
                <w:ilvl w:val="0"/>
                <w:numId w:val="0"/>
              </w:numPr>
              <w:jc w:val="center"/>
            </w:pPr>
            <w:r>
              <w:rPr>
                <w:rFonts w:hint="eastAsia"/>
              </w:rPr>
              <w:t>19</w:t>
            </w:r>
          </w:p>
        </w:tc>
        <w:tc>
          <w:tcPr>
            <w:tcW w:w="488" w:type="dxa"/>
            <w:tcBorders>
              <w:top w:val="single" w:sz="8" w:space="0" w:color="auto"/>
            </w:tcBorders>
          </w:tcPr>
          <w:p w14:paraId="5F8C2973" w14:textId="77777777" w:rsidR="0051782D" w:rsidRDefault="00000000">
            <w:pPr>
              <w:pStyle w:val="a"/>
              <w:numPr>
                <w:ilvl w:val="0"/>
                <w:numId w:val="0"/>
              </w:numPr>
              <w:jc w:val="center"/>
            </w:pPr>
            <w:r>
              <w:rPr>
                <w:rFonts w:hint="eastAsia"/>
              </w:rPr>
              <w:t>21</w:t>
            </w:r>
          </w:p>
        </w:tc>
        <w:tc>
          <w:tcPr>
            <w:tcW w:w="488" w:type="dxa"/>
            <w:tcBorders>
              <w:top w:val="single" w:sz="8" w:space="0" w:color="auto"/>
            </w:tcBorders>
          </w:tcPr>
          <w:p w14:paraId="1F1EFCDE" w14:textId="77777777" w:rsidR="0051782D" w:rsidRDefault="00000000">
            <w:pPr>
              <w:pStyle w:val="a"/>
              <w:numPr>
                <w:ilvl w:val="0"/>
                <w:numId w:val="0"/>
              </w:numPr>
              <w:jc w:val="center"/>
            </w:pPr>
            <w:r>
              <w:rPr>
                <w:rFonts w:hint="eastAsia"/>
              </w:rPr>
              <w:t>16</w:t>
            </w:r>
          </w:p>
        </w:tc>
        <w:tc>
          <w:tcPr>
            <w:tcW w:w="488" w:type="dxa"/>
            <w:tcBorders>
              <w:top w:val="single" w:sz="8" w:space="0" w:color="auto"/>
            </w:tcBorders>
          </w:tcPr>
          <w:p w14:paraId="02D78D32" w14:textId="77777777" w:rsidR="0051782D" w:rsidRDefault="00000000">
            <w:pPr>
              <w:pStyle w:val="a"/>
              <w:numPr>
                <w:ilvl w:val="0"/>
                <w:numId w:val="0"/>
              </w:numPr>
              <w:jc w:val="center"/>
            </w:pPr>
            <w:r>
              <w:rPr>
                <w:rFonts w:hint="eastAsia"/>
              </w:rPr>
              <w:t>28</w:t>
            </w:r>
          </w:p>
        </w:tc>
        <w:tc>
          <w:tcPr>
            <w:tcW w:w="488" w:type="dxa"/>
            <w:tcBorders>
              <w:top w:val="single" w:sz="8" w:space="0" w:color="auto"/>
            </w:tcBorders>
          </w:tcPr>
          <w:p w14:paraId="225061A7" w14:textId="77777777" w:rsidR="0051782D" w:rsidRDefault="00000000">
            <w:pPr>
              <w:pStyle w:val="a"/>
              <w:numPr>
                <w:ilvl w:val="0"/>
                <w:numId w:val="0"/>
              </w:numPr>
              <w:jc w:val="center"/>
            </w:pPr>
            <w:r>
              <w:rPr>
                <w:rFonts w:hint="eastAsia"/>
              </w:rPr>
              <w:t>13</w:t>
            </w:r>
          </w:p>
        </w:tc>
        <w:tc>
          <w:tcPr>
            <w:tcW w:w="488" w:type="dxa"/>
            <w:tcBorders>
              <w:top w:val="single" w:sz="8" w:space="0" w:color="auto"/>
            </w:tcBorders>
          </w:tcPr>
          <w:p w14:paraId="00BEF6C7" w14:textId="77777777" w:rsidR="0051782D" w:rsidRDefault="00000000">
            <w:pPr>
              <w:pStyle w:val="a"/>
              <w:numPr>
                <w:ilvl w:val="0"/>
                <w:numId w:val="0"/>
              </w:numPr>
              <w:jc w:val="center"/>
            </w:pPr>
            <w:r>
              <w:rPr>
                <w:rFonts w:hint="eastAsia"/>
              </w:rPr>
              <w:t>24</w:t>
            </w:r>
          </w:p>
        </w:tc>
        <w:tc>
          <w:tcPr>
            <w:tcW w:w="488" w:type="dxa"/>
            <w:tcBorders>
              <w:top w:val="single" w:sz="8" w:space="0" w:color="auto"/>
            </w:tcBorders>
          </w:tcPr>
          <w:p w14:paraId="390DCFC3" w14:textId="77777777" w:rsidR="0051782D" w:rsidRDefault="00000000">
            <w:pPr>
              <w:pStyle w:val="a"/>
              <w:numPr>
                <w:ilvl w:val="0"/>
                <w:numId w:val="0"/>
              </w:numPr>
              <w:jc w:val="center"/>
            </w:pPr>
            <w:r>
              <w:rPr>
                <w:rFonts w:hint="eastAsia"/>
              </w:rPr>
              <w:t>11</w:t>
            </w:r>
          </w:p>
        </w:tc>
        <w:tc>
          <w:tcPr>
            <w:tcW w:w="488" w:type="dxa"/>
            <w:tcBorders>
              <w:top w:val="single" w:sz="8" w:space="0" w:color="auto"/>
            </w:tcBorders>
          </w:tcPr>
          <w:p w14:paraId="61E850C5" w14:textId="77777777" w:rsidR="0051782D" w:rsidRDefault="00000000">
            <w:pPr>
              <w:pStyle w:val="a"/>
              <w:numPr>
                <w:ilvl w:val="0"/>
                <w:numId w:val="0"/>
              </w:numPr>
              <w:jc w:val="center"/>
            </w:pPr>
            <w:r>
              <w:rPr>
                <w:rFonts w:hint="eastAsia"/>
              </w:rPr>
              <w:t>12</w:t>
            </w:r>
          </w:p>
        </w:tc>
        <w:tc>
          <w:tcPr>
            <w:tcW w:w="488" w:type="dxa"/>
            <w:tcBorders>
              <w:top w:val="single" w:sz="8" w:space="0" w:color="auto"/>
            </w:tcBorders>
          </w:tcPr>
          <w:p w14:paraId="286F6E35" w14:textId="77777777" w:rsidR="0051782D" w:rsidRDefault="00000000">
            <w:pPr>
              <w:pStyle w:val="a"/>
              <w:numPr>
                <w:ilvl w:val="0"/>
                <w:numId w:val="0"/>
              </w:numPr>
              <w:jc w:val="center"/>
            </w:pPr>
            <w:r>
              <w:rPr>
                <w:rFonts w:hint="eastAsia"/>
              </w:rPr>
              <w:t>9.7</w:t>
            </w:r>
          </w:p>
        </w:tc>
        <w:tc>
          <w:tcPr>
            <w:tcW w:w="498" w:type="dxa"/>
            <w:tcBorders>
              <w:top w:val="single" w:sz="8" w:space="0" w:color="auto"/>
            </w:tcBorders>
          </w:tcPr>
          <w:p w14:paraId="55E3BC85" w14:textId="77777777" w:rsidR="0051782D" w:rsidRDefault="00000000">
            <w:pPr>
              <w:pStyle w:val="a"/>
              <w:numPr>
                <w:ilvl w:val="0"/>
                <w:numId w:val="0"/>
              </w:numPr>
              <w:jc w:val="center"/>
            </w:pPr>
            <w:r>
              <w:rPr>
                <w:rFonts w:hint="eastAsia"/>
              </w:rPr>
              <w:t>18</w:t>
            </w:r>
          </w:p>
        </w:tc>
      </w:tr>
      <w:tr w:rsidR="0051782D" w14:paraId="25CD18ED" w14:textId="77777777">
        <w:trPr>
          <w:trHeight w:val="374"/>
        </w:trPr>
        <w:tc>
          <w:tcPr>
            <w:tcW w:w="893" w:type="dxa"/>
            <w:tcBorders>
              <w:top w:val="single" w:sz="8" w:space="0" w:color="auto"/>
            </w:tcBorders>
            <w:vAlign w:val="center"/>
          </w:tcPr>
          <w:p w14:paraId="2D56A563" w14:textId="77777777" w:rsidR="0051782D" w:rsidRDefault="00000000">
            <w:pPr>
              <w:pStyle w:val="a"/>
              <w:numPr>
                <w:ilvl w:val="0"/>
                <w:numId w:val="0"/>
              </w:numPr>
              <w:jc w:val="center"/>
            </w:pPr>
            <w:r>
              <w:rPr>
                <w:rFonts w:hint="eastAsia"/>
              </w:rPr>
              <w:t>10</w:t>
            </w:r>
          </w:p>
        </w:tc>
        <w:tc>
          <w:tcPr>
            <w:tcW w:w="859" w:type="dxa"/>
            <w:tcBorders>
              <w:top w:val="single" w:sz="8" w:space="0" w:color="auto"/>
            </w:tcBorders>
            <w:vAlign w:val="center"/>
          </w:tcPr>
          <w:p w14:paraId="7013A4B3" w14:textId="77777777" w:rsidR="0051782D" w:rsidRDefault="00000000">
            <w:pPr>
              <w:pStyle w:val="a"/>
              <w:numPr>
                <w:ilvl w:val="0"/>
                <w:numId w:val="0"/>
              </w:numPr>
              <w:jc w:val="center"/>
            </w:pPr>
            <w:r>
              <w:rPr>
                <w:rFonts w:hint="eastAsia"/>
              </w:rPr>
              <w:t>100</w:t>
            </w:r>
          </w:p>
        </w:tc>
        <w:tc>
          <w:tcPr>
            <w:tcW w:w="488" w:type="dxa"/>
            <w:tcBorders>
              <w:top w:val="single" w:sz="8" w:space="0" w:color="auto"/>
            </w:tcBorders>
            <w:vAlign w:val="center"/>
          </w:tcPr>
          <w:p w14:paraId="3CA249C9" w14:textId="77777777" w:rsidR="0051782D" w:rsidRDefault="00000000">
            <w:pPr>
              <w:pStyle w:val="a"/>
              <w:numPr>
                <w:ilvl w:val="0"/>
                <w:numId w:val="0"/>
              </w:numPr>
              <w:jc w:val="center"/>
            </w:pPr>
            <w:r>
              <w:rPr>
                <w:rFonts w:hint="eastAsia"/>
              </w:rPr>
              <w:t>26</w:t>
            </w:r>
          </w:p>
        </w:tc>
        <w:tc>
          <w:tcPr>
            <w:tcW w:w="488" w:type="dxa"/>
            <w:tcBorders>
              <w:top w:val="single" w:sz="8" w:space="0" w:color="auto"/>
            </w:tcBorders>
            <w:vAlign w:val="center"/>
          </w:tcPr>
          <w:p w14:paraId="38F56715" w14:textId="77777777" w:rsidR="0051782D" w:rsidRDefault="00000000">
            <w:pPr>
              <w:pStyle w:val="a"/>
              <w:numPr>
                <w:ilvl w:val="0"/>
                <w:numId w:val="0"/>
              </w:numPr>
              <w:jc w:val="center"/>
            </w:pPr>
            <w:r>
              <w:rPr>
                <w:rFonts w:hint="eastAsia"/>
              </w:rPr>
              <w:t>20</w:t>
            </w:r>
          </w:p>
        </w:tc>
        <w:tc>
          <w:tcPr>
            <w:tcW w:w="488" w:type="dxa"/>
            <w:tcBorders>
              <w:top w:val="single" w:sz="8" w:space="0" w:color="auto"/>
            </w:tcBorders>
            <w:vAlign w:val="center"/>
          </w:tcPr>
          <w:p w14:paraId="398059E9" w14:textId="77777777" w:rsidR="0051782D" w:rsidRDefault="00000000">
            <w:pPr>
              <w:pStyle w:val="a"/>
              <w:numPr>
                <w:ilvl w:val="0"/>
                <w:numId w:val="0"/>
              </w:numPr>
              <w:jc w:val="center"/>
            </w:pPr>
            <w:r>
              <w:rPr>
                <w:rFonts w:hint="eastAsia"/>
              </w:rPr>
              <w:t>13</w:t>
            </w:r>
          </w:p>
        </w:tc>
        <w:tc>
          <w:tcPr>
            <w:tcW w:w="488" w:type="dxa"/>
            <w:tcBorders>
              <w:top w:val="single" w:sz="8" w:space="0" w:color="auto"/>
            </w:tcBorders>
            <w:vAlign w:val="center"/>
          </w:tcPr>
          <w:p w14:paraId="0C060BDA" w14:textId="77777777" w:rsidR="0051782D" w:rsidRDefault="00000000">
            <w:pPr>
              <w:pStyle w:val="a"/>
              <w:numPr>
                <w:ilvl w:val="0"/>
                <w:numId w:val="0"/>
              </w:numPr>
              <w:jc w:val="center"/>
            </w:pPr>
            <w:r>
              <w:rPr>
                <w:rFonts w:hint="eastAsia"/>
              </w:rPr>
              <w:t>20</w:t>
            </w:r>
          </w:p>
        </w:tc>
        <w:tc>
          <w:tcPr>
            <w:tcW w:w="488" w:type="dxa"/>
            <w:tcBorders>
              <w:top w:val="single" w:sz="8" w:space="0" w:color="auto"/>
            </w:tcBorders>
            <w:vAlign w:val="center"/>
          </w:tcPr>
          <w:p w14:paraId="5F015341" w14:textId="77777777" w:rsidR="0051782D" w:rsidRDefault="00000000">
            <w:pPr>
              <w:pStyle w:val="a"/>
              <w:numPr>
                <w:ilvl w:val="0"/>
                <w:numId w:val="0"/>
              </w:numPr>
              <w:jc w:val="center"/>
            </w:pPr>
            <w:r>
              <w:rPr>
                <w:rFonts w:hint="eastAsia"/>
              </w:rPr>
              <w:t>8.5</w:t>
            </w:r>
          </w:p>
        </w:tc>
        <w:tc>
          <w:tcPr>
            <w:tcW w:w="488" w:type="dxa"/>
            <w:tcBorders>
              <w:top w:val="single" w:sz="8" w:space="0" w:color="auto"/>
            </w:tcBorders>
            <w:vAlign w:val="center"/>
          </w:tcPr>
          <w:p w14:paraId="50E3D322" w14:textId="77777777" w:rsidR="0051782D" w:rsidRDefault="00000000">
            <w:pPr>
              <w:pStyle w:val="a"/>
              <w:numPr>
                <w:ilvl w:val="0"/>
                <w:numId w:val="0"/>
              </w:numPr>
              <w:jc w:val="center"/>
            </w:pPr>
            <w:r>
              <w:rPr>
                <w:rFonts w:hint="eastAsia"/>
              </w:rPr>
              <w:t>15</w:t>
            </w:r>
          </w:p>
        </w:tc>
        <w:tc>
          <w:tcPr>
            <w:tcW w:w="488" w:type="dxa"/>
            <w:tcBorders>
              <w:top w:val="single" w:sz="8" w:space="0" w:color="auto"/>
            </w:tcBorders>
            <w:vAlign w:val="center"/>
          </w:tcPr>
          <w:p w14:paraId="4F27961E" w14:textId="77777777" w:rsidR="0051782D" w:rsidRDefault="00000000">
            <w:pPr>
              <w:pStyle w:val="a"/>
              <w:numPr>
                <w:ilvl w:val="0"/>
                <w:numId w:val="0"/>
              </w:numPr>
              <w:jc w:val="center"/>
            </w:pPr>
            <w:r>
              <w:rPr>
                <w:rFonts w:hint="eastAsia"/>
              </w:rPr>
              <w:t>6.4</w:t>
            </w:r>
          </w:p>
        </w:tc>
        <w:tc>
          <w:tcPr>
            <w:tcW w:w="488" w:type="dxa"/>
            <w:tcBorders>
              <w:top w:val="single" w:sz="8" w:space="0" w:color="auto"/>
            </w:tcBorders>
            <w:vAlign w:val="center"/>
          </w:tcPr>
          <w:p w14:paraId="3CB6E3C7" w14:textId="77777777" w:rsidR="0051782D" w:rsidRDefault="00000000">
            <w:pPr>
              <w:pStyle w:val="a"/>
              <w:numPr>
                <w:ilvl w:val="0"/>
                <w:numId w:val="0"/>
              </w:numPr>
              <w:jc w:val="center"/>
            </w:pPr>
            <w:r>
              <w:rPr>
                <w:rFonts w:hint="eastAsia"/>
              </w:rPr>
              <w:t>6.8</w:t>
            </w:r>
          </w:p>
        </w:tc>
        <w:tc>
          <w:tcPr>
            <w:tcW w:w="488" w:type="dxa"/>
            <w:tcBorders>
              <w:top w:val="single" w:sz="8" w:space="0" w:color="auto"/>
            </w:tcBorders>
            <w:vAlign w:val="center"/>
          </w:tcPr>
          <w:p w14:paraId="4F4D0BD4" w14:textId="77777777" w:rsidR="0051782D" w:rsidRDefault="00000000">
            <w:pPr>
              <w:pStyle w:val="a"/>
              <w:numPr>
                <w:ilvl w:val="0"/>
                <w:numId w:val="0"/>
              </w:numPr>
              <w:jc w:val="center"/>
            </w:pPr>
            <w:r>
              <w:rPr>
                <w:rFonts w:hint="eastAsia"/>
              </w:rPr>
              <w:t>5.1</w:t>
            </w:r>
          </w:p>
        </w:tc>
        <w:tc>
          <w:tcPr>
            <w:tcW w:w="488" w:type="dxa"/>
            <w:tcBorders>
              <w:top w:val="single" w:sz="8" w:space="0" w:color="auto"/>
            </w:tcBorders>
            <w:vAlign w:val="center"/>
          </w:tcPr>
          <w:p w14:paraId="59CBA93E" w14:textId="77777777" w:rsidR="0051782D" w:rsidRDefault="00000000">
            <w:pPr>
              <w:pStyle w:val="a"/>
              <w:numPr>
                <w:ilvl w:val="0"/>
                <w:numId w:val="0"/>
              </w:numPr>
              <w:jc w:val="center"/>
            </w:pPr>
            <w:r>
              <w:rPr>
                <w:rFonts w:hint="eastAsia"/>
              </w:rPr>
              <w:t>9.3</w:t>
            </w:r>
          </w:p>
        </w:tc>
        <w:tc>
          <w:tcPr>
            <w:tcW w:w="488" w:type="dxa"/>
            <w:tcBorders>
              <w:top w:val="single" w:sz="8" w:space="0" w:color="auto"/>
            </w:tcBorders>
            <w:vAlign w:val="center"/>
          </w:tcPr>
          <w:p w14:paraId="75289892" w14:textId="77777777" w:rsidR="0051782D" w:rsidRDefault="00000000">
            <w:pPr>
              <w:pStyle w:val="a"/>
              <w:numPr>
                <w:ilvl w:val="0"/>
                <w:numId w:val="0"/>
              </w:numPr>
              <w:jc w:val="center"/>
            </w:pPr>
            <w:r>
              <w:rPr>
                <w:rFonts w:hint="eastAsia"/>
              </w:rPr>
              <w:t>4.3</w:t>
            </w:r>
          </w:p>
        </w:tc>
        <w:tc>
          <w:tcPr>
            <w:tcW w:w="488" w:type="dxa"/>
            <w:tcBorders>
              <w:top w:val="single" w:sz="8" w:space="0" w:color="auto"/>
            </w:tcBorders>
            <w:vAlign w:val="center"/>
          </w:tcPr>
          <w:p w14:paraId="31720C34" w14:textId="77777777" w:rsidR="0051782D" w:rsidRDefault="00000000">
            <w:pPr>
              <w:pStyle w:val="a"/>
              <w:numPr>
                <w:ilvl w:val="0"/>
                <w:numId w:val="0"/>
              </w:numPr>
              <w:jc w:val="center"/>
            </w:pPr>
            <w:r>
              <w:rPr>
                <w:rFonts w:hint="eastAsia"/>
              </w:rPr>
              <w:t>7.9</w:t>
            </w:r>
          </w:p>
        </w:tc>
        <w:tc>
          <w:tcPr>
            <w:tcW w:w="488" w:type="dxa"/>
            <w:tcBorders>
              <w:top w:val="single" w:sz="8" w:space="0" w:color="auto"/>
            </w:tcBorders>
            <w:vAlign w:val="center"/>
          </w:tcPr>
          <w:p w14:paraId="7F4B07C5" w14:textId="77777777" w:rsidR="0051782D" w:rsidRDefault="00000000">
            <w:pPr>
              <w:pStyle w:val="a"/>
              <w:numPr>
                <w:ilvl w:val="0"/>
                <w:numId w:val="0"/>
              </w:numPr>
              <w:jc w:val="center"/>
            </w:pPr>
            <w:r>
              <w:rPr>
                <w:rFonts w:hint="eastAsia"/>
              </w:rPr>
              <w:t>3.1</w:t>
            </w:r>
          </w:p>
        </w:tc>
        <w:tc>
          <w:tcPr>
            <w:tcW w:w="488" w:type="dxa"/>
            <w:tcBorders>
              <w:top w:val="single" w:sz="8" w:space="0" w:color="auto"/>
            </w:tcBorders>
            <w:vAlign w:val="center"/>
          </w:tcPr>
          <w:p w14:paraId="7C760B72" w14:textId="77777777" w:rsidR="0051782D" w:rsidRDefault="00000000">
            <w:pPr>
              <w:pStyle w:val="a"/>
              <w:numPr>
                <w:ilvl w:val="0"/>
                <w:numId w:val="0"/>
              </w:numPr>
              <w:jc w:val="center"/>
            </w:pPr>
            <w:r>
              <w:rPr>
                <w:rFonts w:hint="eastAsia"/>
              </w:rPr>
              <w:t>4.1</w:t>
            </w:r>
          </w:p>
        </w:tc>
        <w:tc>
          <w:tcPr>
            <w:tcW w:w="488" w:type="dxa"/>
            <w:tcBorders>
              <w:top w:val="single" w:sz="8" w:space="0" w:color="auto"/>
            </w:tcBorders>
            <w:vAlign w:val="center"/>
          </w:tcPr>
          <w:p w14:paraId="57A2106B" w14:textId="77777777" w:rsidR="0051782D" w:rsidRDefault="00000000">
            <w:pPr>
              <w:pStyle w:val="a"/>
              <w:numPr>
                <w:ilvl w:val="0"/>
                <w:numId w:val="0"/>
              </w:numPr>
              <w:jc w:val="center"/>
            </w:pPr>
            <w:r>
              <w:rPr>
                <w:rFonts w:hint="eastAsia"/>
              </w:rPr>
              <w:t>3.2</w:t>
            </w:r>
          </w:p>
        </w:tc>
        <w:tc>
          <w:tcPr>
            <w:tcW w:w="498" w:type="dxa"/>
            <w:tcBorders>
              <w:top w:val="single" w:sz="8" w:space="0" w:color="auto"/>
            </w:tcBorders>
            <w:vAlign w:val="center"/>
          </w:tcPr>
          <w:p w14:paraId="7F5CCA62" w14:textId="77777777" w:rsidR="0051782D" w:rsidRDefault="00000000">
            <w:pPr>
              <w:pStyle w:val="a"/>
              <w:numPr>
                <w:ilvl w:val="0"/>
                <w:numId w:val="0"/>
              </w:numPr>
              <w:jc w:val="center"/>
            </w:pPr>
            <w:r>
              <w:rPr>
                <w:rFonts w:hint="eastAsia"/>
              </w:rPr>
              <w:t>6.0</w:t>
            </w:r>
          </w:p>
        </w:tc>
      </w:tr>
    </w:tbl>
    <w:p w14:paraId="4841F15F" w14:textId="77777777" w:rsidR="0051782D" w:rsidRDefault="00000000">
      <w:pPr>
        <w:pStyle w:val="aff6"/>
        <w:rPr>
          <w:rFonts w:hAnsi="宋体" w:cs="宋体" w:hint="eastAsia"/>
          <w:szCs w:val="21"/>
        </w:rPr>
      </w:pPr>
      <w:r>
        <w:rPr>
          <w:rFonts w:hAnsi="宋体" w:cs="宋体" w:hint="eastAsia"/>
          <w:szCs w:val="21"/>
        </w:rPr>
        <w:t>注：当公共连接点处的最小短路容量不同于表A.7中基准短路容量时，谐波电流允许值应按照以下公式换算：</w:t>
      </w:r>
    </w:p>
    <w:p w14:paraId="24D5A8F9" w14:textId="77777777" w:rsidR="0051782D" w:rsidRDefault="00000000">
      <w:pPr>
        <w:pStyle w:val="afb"/>
        <w:jc w:val="right"/>
        <w:rPr>
          <w:rFonts w:ascii="宋体" w:hAnsi="宋体" w:cs="宋体" w:hint="eastAsia"/>
          <w:szCs w:val="21"/>
        </w:rPr>
      </w:pPr>
      <m:oMath>
        <m:sSub>
          <m:sSubPr>
            <m:ctrlPr>
              <w:rPr>
                <w:rFonts w:ascii="Cambria Math" w:hAnsi="Cambria Math"/>
                <w:i/>
                <w:sz w:val="36"/>
                <w:szCs w:val="44"/>
              </w:rPr>
            </m:ctrlPr>
          </m:sSubPr>
          <m:e>
            <m:r>
              <w:rPr>
                <w:rFonts w:ascii="Cambria Math" w:hAnsi="Cambria Math"/>
                <w:sz w:val="36"/>
                <w:szCs w:val="44"/>
              </w:rPr>
              <m:t>I</m:t>
            </m:r>
          </m:e>
          <m:sub>
            <m:r>
              <w:rPr>
                <w:rFonts w:ascii="Cambria Math" w:hAnsi="Cambria Math"/>
                <w:sz w:val="36"/>
                <w:szCs w:val="44"/>
              </w:rPr>
              <m:t>h</m:t>
            </m:r>
          </m:sub>
        </m:sSub>
        <m:r>
          <w:rPr>
            <w:rFonts w:ascii="Cambria Math" w:hAnsi="Cambria Math"/>
            <w:sz w:val="36"/>
            <w:szCs w:val="44"/>
          </w:rPr>
          <m:t>=</m:t>
        </m:r>
        <m:sSub>
          <m:sSubPr>
            <m:ctrlPr>
              <w:rPr>
                <w:rFonts w:ascii="Cambria Math" w:hAnsi="Cambria Math"/>
                <w:i/>
                <w:sz w:val="36"/>
                <w:szCs w:val="44"/>
              </w:rPr>
            </m:ctrlPr>
          </m:sSubPr>
          <m:e>
            <m:r>
              <w:rPr>
                <w:rFonts w:ascii="Cambria Math" w:hAnsi="Cambria Math"/>
                <w:sz w:val="36"/>
                <w:szCs w:val="44"/>
              </w:rPr>
              <m:t>I</m:t>
            </m:r>
          </m:e>
          <m:sub>
            <m:r>
              <w:rPr>
                <w:rFonts w:ascii="Cambria Math" w:hAnsi="Cambria Math"/>
                <w:sz w:val="36"/>
                <w:szCs w:val="44"/>
              </w:rPr>
              <m:t>hp</m:t>
            </m:r>
          </m:sub>
        </m:sSub>
        <m:f>
          <m:fPr>
            <m:ctrlPr>
              <w:rPr>
                <w:rFonts w:ascii="Cambria Math" w:hAnsi="Cambria Math"/>
                <w:i/>
                <w:sz w:val="36"/>
                <w:szCs w:val="44"/>
              </w:rPr>
            </m:ctrlPr>
          </m:fPr>
          <m:num>
            <m:sSub>
              <m:sSubPr>
                <m:ctrlPr>
                  <w:rPr>
                    <w:rFonts w:ascii="Cambria Math" w:hAnsi="Cambria Math"/>
                    <w:i/>
                    <w:sz w:val="36"/>
                    <w:szCs w:val="44"/>
                  </w:rPr>
                </m:ctrlPr>
              </m:sSubPr>
              <m:e>
                <m:r>
                  <w:rPr>
                    <w:rFonts w:ascii="Cambria Math" w:hAnsi="Cambria Math"/>
                    <w:sz w:val="36"/>
                    <w:szCs w:val="44"/>
                  </w:rPr>
                  <m:t>S</m:t>
                </m:r>
              </m:e>
              <m:sub>
                <m:r>
                  <w:rPr>
                    <w:rFonts w:ascii="Cambria Math" w:hAnsi="Cambria Math"/>
                    <w:sz w:val="36"/>
                    <w:szCs w:val="44"/>
                  </w:rPr>
                  <m:t>k1</m:t>
                </m:r>
              </m:sub>
            </m:sSub>
          </m:num>
          <m:den>
            <m:sSub>
              <m:sSubPr>
                <m:ctrlPr>
                  <w:rPr>
                    <w:rFonts w:ascii="Cambria Math" w:hAnsi="Cambria Math"/>
                    <w:i/>
                    <w:sz w:val="36"/>
                    <w:szCs w:val="44"/>
                  </w:rPr>
                </m:ctrlPr>
              </m:sSubPr>
              <m:e>
                <m:r>
                  <w:rPr>
                    <w:rFonts w:ascii="Cambria Math" w:hAnsi="Cambria Math"/>
                    <w:sz w:val="36"/>
                    <w:szCs w:val="44"/>
                  </w:rPr>
                  <m:t>S</m:t>
                </m:r>
              </m:e>
              <m:sub>
                <m:r>
                  <w:rPr>
                    <w:rFonts w:ascii="Cambria Math" w:hAnsi="Cambria Math"/>
                    <w:sz w:val="36"/>
                    <w:szCs w:val="44"/>
                  </w:rPr>
                  <m:t>k2</m:t>
                </m:r>
              </m:sub>
            </m:sSub>
          </m:den>
        </m:f>
      </m:oMath>
      <w:r>
        <w:rPr>
          <w:rFonts w:hAnsi="Cambria Math" w:hint="eastAsia"/>
          <w:i/>
          <w:sz w:val="36"/>
          <w:szCs w:val="44"/>
        </w:rPr>
        <w:t xml:space="preserve">                    </w:t>
      </w:r>
      <w:r>
        <w:rPr>
          <w:rFonts w:ascii="宋体" w:hAnsi="宋体" w:cs="宋体" w:hint="eastAsia"/>
          <w:szCs w:val="21"/>
        </w:rPr>
        <w:t>（1）</w:t>
      </w:r>
    </w:p>
    <w:p w14:paraId="33C01BAB" w14:textId="77777777" w:rsidR="0051782D" w:rsidRDefault="00000000">
      <w:pPr>
        <w:ind w:firstLineChars="200" w:firstLine="420"/>
        <w:rPr>
          <w:rFonts w:ascii="宋体" w:hAnsi="宋体" w:cs="宋体" w:hint="eastAsia"/>
          <w:kern w:val="0"/>
          <w:szCs w:val="21"/>
        </w:rPr>
      </w:pPr>
      <w:r>
        <w:rPr>
          <w:rFonts w:ascii="宋体" w:hAnsi="宋体" w:cs="宋体" w:hint="eastAsia"/>
          <w:kern w:val="0"/>
          <w:szCs w:val="21"/>
        </w:rPr>
        <w:t>式中：</w:t>
      </w:r>
    </w:p>
    <w:p w14:paraId="6BF24656" w14:textId="77777777" w:rsidR="0051782D" w:rsidRDefault="00000000">
      <w:pPr>
        <w:pStyle w:val="aff6"/>
        <w:rPr>
          <w:rFonts w:hAnsi="宋体" w:cs="宋体" w:hint="eastAsia"/>
          <w:szCs w:val="21"/>
        </w:rPr>
      </w:pPr>
      <m:oMath>
        <m:sSub>
          <m:sSubPr>
            <m:ctrlPr>
              <w:rPr>
                <w:rFonts w:ascii="Cambria Math" w:hAnsi="Cambria Math" w:cs="宋体" w:hint="eastAsia"/>
                <w:szCs w:val="21"/>
              </w:rPr>
            </m:ctrlPr>
          </m:sSubPr>
          <m:e>
            <m:r>
              <m:rPr>
                <m:sty m:val="p"/>
              </m:rPr>
              <w:rPr>
                <w:rFonts w:ascii="Cambria Math" w:hAnsi="Cambria Math" w:cs="宋体" w:hint="eastAsia"/>
                <w:szCs w:val="21"/>
              </w:rPr>
              <m:t>S</m:t>
            </m:r>
          </m:e>
          <m:sub>
            <m:r>
              <m:rPr>
                <m:sty m:val="p"/>
              </m:rPr>
              <w:rPr>
                <w:rFonts w:ascii="Cambria Math" w:hAnsi="Cambria Math" w:cs="宋体" w:hint="eastAsia"/>
                <w:szCs w:val="21"/>
              </w:rPr>
              <m:t>k1</m:t>
            </m:r>
          </m:sub>
        </m:sSub>
      </m:oMath>
      <w:r>
        <w:rPr>
          <w:rFonts w:hAnsi="宋体" w:cs="宋体" w:hint="eastAsia"/>
          <w:szCs w:val="21"/>
        </w:rPr>
        <w:t>－公共连接点实际的最小短路容量（MVA）；</w:t>
      </w:r>
    </w:p>
    <w:p w14:paraId="48813B91" w14:textId="77777777" w:rsidR="0051782D" w:rsidRDefault="00000000">
      <w:pPr>
        <w:pStyle w:val="aff6"/>
        <w:rPr>
          <w:rFonts w:hAnsi="宋体" w:cs="宋体" w:hint="eastAsia"/>
          <w:szCs w:val="21"/>
        </w:rPr>
      </w:pPr>
      <m:oMath>
        <m:sSub>
          <m:sSubPr>
            <m:ctrlPr>
              <w:rPr>
                <w:rFonts w:ascii="Cambria Math" w:hAnsi="Cambria Math" w:cs="宋体" w:hint="eastAsia"/>
                <w:szCs w:val="21"/>
              </w:rPr>
            </m:ctrlPr>
          </m:sSubPr>
          <m:e>
            <m:r>
              <m:rPr>
                <m:sty m:val="p"/>
              </m:rPr>
              <w:rPr>
                <w:rFonts w:ascii="Cambria Math" w:hAnsi="Cambria Math" w:cs="宋体" w:hint="eastAsia"/>
                <w:szCs w:val="21"/>
              </w:rPr>
              <m:t>S</m:t>
            </m:r>
          </m:e>
          <m:sub>
            <m:r>
              <m:rPr>
                <m:sty m:val="p"/>
              </m:rPr>
              <w:rPr>
                <w:rFonts w:ascii="Cambria Math" w:hAnsi="Cambria Math" w:cs="宋体" w:hint="eastAsia"/>
                <w:szCs w:val="21"/>
              </w:rPr>
              <m:t>k2</m:t>
            </m:r>
          </m:sub>
        </m:sSub>
      </m:oMath>
      <w:r>
        <w:rPr>
          <w:rFonts w:hAnsi="宋体" w:cs="宋体" w:hint="eastAsia"/>
          <w:szCs w:val="21"/>
        </w:rPr>
        <w:t>：基准短路容量（MVA）；</w:t>
      </w:r>
    </w:p>
    <w:p w14:paraId="20D6F9ED" w14:textId="77777777" w:rsidR="0051782D" w:rsidRDefault="00000000">
      <w:pPr>
        <w:pStyle w:val="aff6"/>
        <w:rPr>
          <w:rFonts w:hAnsi="宋体" w:cs="宋体" w:hint="eastAsia"/>
          <w:szCs w:val="21"/>
        </w:rPr>
      </w:pPr>
      <m:oMath>
        <m:sSub>
          <m:sSubPr>
            <m:ctrlPr>
              <w:rPr>
                <w:rFonts w:ascii="Cambria Math" w:hAnsi="Cambria Math" w:cs="宋体" w:hint="eastAsia"/>
                <w:szCs w:val="21"/>
              </w:rPr>
            </m:ctrlPr>
          </m:sSubPr>
          <m:e>
            <m:r>
              <m:rPr>
                <m:sty m:val="p"/>
              </m:rPr>
              <w:rPr>
                <w:rFonts w:ascii="Cambria Math" w:hAnsi="Cambria Math" w:cs="宋体" w:hint="eastAsia"/>
                <w:szCs w:val="21"/>
              </w:rPr>
              <m:t>I</m:t>
            </m:r>
          </m:e>
          <m:sub>
            <m:r>
              <m:rPr>
                <m:sty m:val="p"/>
              </m:rPr>
              <w:rPr>
                <w:rFonts w:ascii="Cambria Math" w:hAnsi="Cambria Math" w:cs="宋体" w:hint="eastAsia"/>
                <w:szCs w:val="21"/>
              </w:rPr>
              <m:t>hp</m:t>
            </m:r>
          </m:sub>
        </m:sSub>
      </m:oMath>
      <w:r>
        <w:rPr>
          <w:rFonts w:hAnsi="宋体" w:cs="宋体" w:hint="eastAsia"/>
          <w:szCs w:val="21"/>
        </w:rPr>
        <w:t>：基准短路容量下第h次谐波电流允许值（A）；</w:t>
      </w:r>
    </w:p>
    <w:p w14:paraId="723EC12D" w14:textId="77777777" w:rsidR="0051782D" w:rsidRDefault="00000000">
      <w:pPr>
        <w:pStyle w:val="aff6"/>
        <w:rPr>
          <w:rFonts w:hAnsi="宋体" w:cs="宋体" w:hint="eastAsia"/>
          <w:szCs w:val="21"/>
        </w:rPr>
      </w:pPr>
      <m:oMath>
        <m:sSub>
          <m:sSubPr>
            <m:ctrlPr>
              <w:rPr>
                <w:rFonts w:ascii="Cambria Math" w:hAnsi="Cambria Math" w:cs="宋体" w:hint="eastAsia"/>
                <w:szCs w:val="21"/>
              </w:rPr>
            </m:ctrlPr>
          </m:sSubPr>
          <m:e>
            <m:r>
              <m:rPr>
                <m:sty m:val="p"/>
              </m:rPr>
              <w:rPr>
                <w:rFonts w:ascii="Cambria Math" w:hAnsi="Cambria Math" w:cs="宋体" w:hint="eastAsia"/>
                <w:szCs w:val="21"/>
              </w:rPr>
              <m:t>I</m:t>
            </m:r>
          </m:e>
          <m:sub>
            <m:r>
              <m:rPr>
                <m:sty m:val="p"/>
              </m:rPr>
              <w:rPr>
                <w:rFonts w:ascii="Cambria Math" w:hAnsi="Cambria Math" w:cs="宋体" w:hint="eastAsia"/>
                <w:szCs w:val="21"/>
              </w:rPr>
              <m:t>h</m:t>
            </m:r>
          </m:sub>
        </m:sSub>
      </m:oMath>
      <w:r>
        <w:rPr>
          <w:rFonts w:hAnsi="宋体" w:cs="宋体" w:hint="eastAsia"/>
          <w:szCs w:val="21"/>
        </w:rPr>
        <w:t>：短路容量第h次谐波电流允许值（A）。</w:t>
      </w:r>
    </w:p>
    <w:p w14:paraId="6C85D182" w14:textId="77777777" w:rsidR="0051782D" w:rsidRDefault="0051782D"/>
    <w:p w14:paraId="64C3534C" w14:textId="77777777" w:rsidR="0051782D" w:rsidRDefault="00000000">
      <w:pPr>
        <w:pStyle w:val="a2"/>
        <w:ind w:left="0"/>
        <w:outlineLvl w:val="1"/>
        <w:rPr>
          <w:snapToGrid w:val="0"/>
        </w:rPr>
      </w:pPr>
      <w:bookmarkStart w:id="388" w:name="_Toc5781"/>
      <w:bookmarkStart w:id="389" w:name="_Toc15818"/>
      <w:bookmarkStart w:id="390" w:name="_Toc22490"/>
      <w:bookmarkStart w:id="391" w:name="_Toc10346"/>
      <w:bookmarkStart w:id="392" w:name="_Toc27071"/>
      <w:bookmarkStart w:id="393" w:name="_Toc9253"/>
      <w:bookmarkStart w:id="394" w:name="_Toc14109"/>
      <w:r>
        <w:rPr>
          <w:rFonts w:hAnsi="黑体" w:cs="黑体" w:hint="eastAsia"/>
        </w:rPr>
        <w:t>电压</w:t>
      </w:r>
      <w:r>
        <w:rPr>
          <w:rFonts w:hint="eastAsia"/>
          <w:snapToGrid w:val="0"/>
        </w:rPr>
        <w:t>偏差</w:t>
      </w:r>
      <w:bookmarkEnd w:id="388"/>
      <w:bookmarkEnd w:id="389"/>
      <w:bookmarkEnd w:id="390"/>
      <w:bookmarkEnd w:id="391"/>
      <w:bookmarkEnd w:id="392"/>
      <w:bookmarkEnd w:id="393"/>
      <w:bookmarkEnd w:id="394"/>
    </w:p>
    <w:p w14:paraId="345F7A2E"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光储充检一体化充电站接入配电网，公共连接点的电压偏差限值应符合GB/T 12325规定。</w:t>
      </w:r>
    </w:p>
    <w:p w14:paraId="4DDEFBF2"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当光储充检一体化充电站以10kV及以下三相形式接入配电网，公共连接点电压偏差限值为标称电压的±7%。</w:t>
      </w:r>
    </w:p>
    <w:p w14:paraId="7E744675" w14:textId="77777777" w:rsidR="0051782D" w:rsidRDefault="00000000">
      <w:pPr>
        <w:pStyle w:val="a3"/>
        <w:spacing w:before="156" w:after="156"/>
        <w:ind w:left="0"/>
        <w:rPr>
          <w:rFonts w:ascii="宋体" w:eastAsia="宋体" w:hAnsi="宋体" w:cs="宋体" w:hint="eastAsia"/>
        </w:rPr>
      </w:pPr>
      <w:r>
        <w:rPr>
          <w:rFonts w:ascii="宋体" w:eastAsia="宋体" w:hAnsi="宋体" w:cs="宋体" w:hint="eastAsia"/>
        </w:rPr>
        <w:t>当光储充检一体化充电站以220V单相形式接入配电网，公共连接点电压偏差限值为标称电压的＋7%、-10%。</w:t>
      </w:r>
    </w:p>
    <w:p w14:paraId="4DBFE4A6" w14:textId="77777777" w:rsidR="0051782D" w:rsidRDefault="0051782D">
      <w:pPr>
        <w:pStyle w:val="aff6"/>
        <w:ind w:firstLineChars="0" w:firstLine="0"/>
      </w:pPr>
    </w:p>
    <w:p w14:paraId="55B38EBE" w14:textId="77777777" w:rsidR="0051782D" w:rsidRDefault="00000000">
      <w:pPr>
        <w:pStyle w:val="a2"/>
        <w:ind w:left="0"/>
        <w:outlineLvl w:val="1"/>
        <w:rPr>
          <w:snapToGrid w:val="0"/>
        </w:rPr>
      </w:pPr>
      <w:bookmarkStart w:id="395" w:name="_Toc7255"/>
      <w:bookmarkStart w:id="396" w:name="_Toc25197"/>
      <w:bookmarkStart w:id="397" w:name="_Toc19821"/>
      <w:bookmarkStart w:id="398" w:name="_Toc19802"/>
      <w:bookmarkStart w:id="399" w:name="_Toc9332"/>
      <w:bookmarkStart w:id="400" w:name="_Toc18730"/>
      <w:bookmarkStart w:id="401" w:name="_Toc7089"/>
      <w:r>
        <w:rPr>
          <w:rFonts w:hAnsi="黑体" w:cs="黑体" w:hint="eastAsia"/>
        </w:rPr>
        <w:t>电压</w:t>
      </w:r>
      <w:r>
        <w:rPr>
          <w:rFonts w:hint="eastAsia"/>
          <w:snapToGrid w:val="0"/>
        </w:rPr>
        <w:t>不平衡度</w:t>
      </w:r>
      <w:bookmarkEnd w:id="395"/>
      <w:bookmarkEnd w:id="396"/>
      <w:bookmarkEnd w:id="397"/>
      <w:bookmarkEnd w:id="398"/>
      <w:bookmarkEnd w:id="399"/>
      <w:bookmarkEnd w:id="400"/>
      <w:bookmarkEnd w:id="401"/>
    </w:p>
    <w:p w14:paraId="6477F214" w14:textId="77777777" w:rsidR="0051782D" w:rsidRDefault="00000000">
      <w:pPr>
        <w:pStyle w:val="aff6"/>
      </w:pPr>
      <w:r>
        <w:rPr>
          <w:rFonts w:hint="eastAsia"/>
        </w:rPr>
        <w:t>光储充检一体化充电站接入配电网，公共连接点的三相电压不平衡度限值应符合GB/T 15543规定。接入公共连接点的光储充检一体化充电站引起该点负序电压不平衡度允许值一般为1.3%，短时不超过2.6%。</w:t>
      </w:r>
    </w:p>
    <w:p w14:paraId="688EC80C" w14:textId="77777777" w:rsidR="0051782D" w:rsidRDefault="00000000">
      <w:pPr>
        <w:pStyle w:val="a2"/>
        <w:ind w:left="0"/>
        <w:outlineLvl w:val="1"/>
        <w:rPr>
          <w:snapToGrid w:val="0"/>
        </w:rPr>
      </w:pPr>
      <w:bookmarkStart w:id="402" w:name="_Toc24046"/>
      <w:bookmarkStart w:id="403" w:name="_Toc29202"/>
      <w:bookmarkStart w:id="404" w:name="_Toc15669"/>
      <w:bookmarkStart w:id="405" w:name="_Toc14703"/>
      <w:bookmarkStart w:id="406" w:name="_Toc30553"/>
      <w:bookmarkStart w:id="407" w:name="_Toc13907"/>
      <w:bookmarkStart w:id="408" w:name="_Toc30384"/>
      <w:r>
        <w:rPr>
          <w:rFonts w:hAnsi="黑体" w:cs="黑体" w:hint="eastAsia"/>
        </w:rPr>
        <w:t>电压</w:t>
      </w:r>
      <w:r>
        <w:rPr>
          <w:rFonts w:hint="eastAsia"/>
          <w:snapToGrid w:val="0"/>
        </w:rPr>
        <w:t>波动</w:t>
      </w:r>
      <w:bookmarkEnd w:id="402"/>
      <w:bookmarkEnd w:id="403"/>
      <w:bookmarkEnd w:id="404"/>
      <w:bookmarkEnd w:id="405"/>
      <w:bookmarkEnd w:id="406"/>
      <w:bookmarkEnd w:id="407"/>
      <w:bookmarkEnd w:id="408"/>
    </w:p>
    <w:p w14:paraId="489D6BF2" w14:textId="77777777" w:rsidR="0051782D" w:rsidRDefault="00000000">
      <w:pPr>
        <w:pStyle w:val="aff6"/>
      </w:pPr>
      <w:r>
        <w:rPr>
          <w:rFonts w:hint="eastAsia"/>
        </w:rPr>
        <w:t>光储充一体化站接入配电网，公共连接点的电压波动的限值应符合GB/T 12326规定。其限值和电压变动频度r有关。</w:t>
      </w:r>
    </w:p>
    <w:p w14:paraId="5A42F8DB" w14:textId="77777777" w:rsidR="0051782D" w:rsidRDefault="0051782D">
      <w:pPr>
        <w:pStyle w:val="aff6"/>
      </w:pPr>
    </w:p>
    <w:p w14:paraId="5651D082" w14:textId="77777777" w:rsidR="0051782D" w:rsidRDefault="0051782D">
      <w:pPr>
        <w:pStyle w:val="aff6"/>
      </w:pPr>
    </w:p>
    <w:p w14:paraId="1BB8FB19" w14:textId="77777777" w:rsidR="0051782D" w:rsidRDefault="0051782D">
      <w:pPr>
        <w:pStyle w:val="aff6"/>
      </w:pPr>
    </w:p>
    <w:p w14:paraId="2285A8D4" w14:textId="77777777" w:rsidR="0051782D" w:rsidRDefault="0051782D">
      <w:pPr>
        <w:pStyle w:val="aff6"/>
      </w:pPr>
    </w:p>
    <w:p w14:paraId="7CAA9013" w14:textId="77777777" w:rsidR="0051782D" w:rsidRDefault="0051782D">
      <w:pPr>
        <w:pStyle w:val="aff6"/>
      </w:pPr>
    </w:p>
    <w:p w14:paraId="3666188C" w14:textId="77777777" w:rsidR="0051782D" w:rsidRDefault="00000000">
      <w:pPr>
        <w:pStyle w:val="ad"/>
        <w:tabs>
          <w:tab w:val="clear" w:pos="180"/>
        </w:tabs>
        <w:spacing w:before="156" w:after="156"/>
        <w:ind w:left="567" w:hanging="567"/>
      </w:pPr>
      <w:r>
        <w:rPr>
          <w:rFonts w:hint="eastAsia"/>
        </w:rPr>
        <w:t>光储充检一体化充电站接入配电网的连接点电压波动限值</w:t>
      </w:r>
    </w:p>
    <w:tbl>
      <w:tblPr>
        <w:tblW w:w="48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9"/>
        <w:gridCol w:w="2349"/>
      </w:tblGrid>
      <w:tr w:rsidR="0051782D" w14:paraId="5F35B819" w14:textId="77777777">
        <w:trPr>
          <w:trHeight w:val="404"/>
          <w:jc w:val="center"/>
        </w:trPr>
        <w:tc>
          <w:tcPr>
            <w:tcW w:w="2529" w:type="dxa"/>
            <w:tcBorders>
              <w:top w:val="single" w:sz="8" w:space="0" w:color="auto"/>
            </w:tcBorders>
          </w:tcPr>
          <w:p w14:paraId="05C87F37" w14:textId="77777777" w:rsidR="0051782D" w:rsidRDefault="00000000">
            <w:pPr>
              <w:pStyle w:val="aff6"/>
              <w:ind w:firstLineChars="0" w:firstLine="0"/>
              <w:jc w:val="center"/>
              <w:rPr>
                <w:sz w:val="18"/>
              </w:rPr>
            </w:pPr>
            <w:r>
              <w:rPr>
                <w:rFonts w:hint="eastAsia"/>
                <w:sz w:val="18"/>
              </w:rPr>
              <w:t>r，次/h</w:t>
            </w:r>
          </w:p>
        </w:tc>
        <w:tc>
          <w:tcPr>
            <w:tcW w:w="2349" w:type="dxa"/>
            <w:tcBorders>
              <w:top w:val="single" w:sz="8" w:space="0" w:color="auto"/>
            </w:tcBorders>
          </w:tcPr>
          <w:p w14:paraId="77C517FA" w14:textId="77777777" w:rsidR="0051782D" w:rsidRDefault="00000000">
            <w:pPr>
              <w:pStyle w:val="aff6"/>
              <w:ind w:firstLineChars="0" w:firstLine="0"/>
              <w:jc w:val="center"/>
              <w:rPr>
                <w:sz w:val="18"/>
              </w:rPr>
            </w:pPr>
            <w:r>
              <w:rPr>
                <w:rFonts w:hint="eastAsia"/>
                <w:sz w:val="18"/>
              </w:rPr>
              <w:t>d，%</w:t>
            </w:r>
          </w:p>
        </w:tc>
      </w:tr>
      <w:tr w:rsidR="0051782D" w14:paraId="1A630974" w14:textId="77777777">
        <w:trPr>
          <w:jc w:val="center"/>
        </w:trPr>
        <w:tc>
          <w:tcPr>
            <w:tcW w:w="2529" w:type="dxa"/>
            <w:tcBorders>
              <w:top w:val="single" w:sz="8" w:space="0" w:color="auto"/>
            </w:tcBorders>
          </w:tcPr>
          <w:p w14:paraId="2AE46EAD" w14:textId="77777777" w:rsidR="0051782D" w:rsidRDefault="00000000">
            <w:pPr>
              <w:pStyle w:val="a"/>
              <w:numPr>
                <w:ilvl w:val="0"/>
                <w:numId w:val="0"/>
              </w:numPr>
              <w:jc w:val="center"/>
            </w:pPr>
            <w:r>
              <w:rPr>
                <w:rFonts w:hint="eastAsia"/>
              </w:rPr>
              <w:t>r≤1</w:t>
            </w:r>
          </w:p>
        </w:tc>
        <w:tc>
          <w:tcPr>
            <w:tcW w:w="2349" w:type="dxa"/>
            <w:tcBorders>
              <w:top w:val="single" w:sz="8" w:space="0" w:color="auto"/>
            </w:tcBorders>
          </w:tcPr>
          <w:p w14:paraId="1876A34A" w14:textId="77777777" w:rsidR="0051782D" w:rsidRDefault="00000000">
            <w:pPr>
              <w:pStyle w:val="a"/>
              <w:numPr>
                <w:ilvl w:val="0"/>
                <w:numId w:val="0"/>
              </w:numPr>
              <w:jc w:val="center"/>
            </w:pPr>
            <w:r>
              <w:rPr>
                <w:rFonts w:hint="eastAsia"/>
              </w:rPr>
              <w:t>4</w:t>
            </w:r>
          </w:p>
        </w:tc>
      </w:tr>
      <w:tr w:rsidR="0051782D" w14:paraId="0631F84D" w14:textId="77777777">
        <w:trPr>
          <w:jc w:val="center"/>
        </w:trPr>
        <w:tc>
          <w:tcPr>
            <w:tcW w:w="2529" w:type="dxa"/>
            <w:tcBorders>
              <w:top w:val="single" w:sz="8" w:space="0" w:color="auto"/>
            </w:tcBorders>
          </w:tcPr>
          <w:p w14:paraId="646E6A20" w14:textId="77777777" w:rsidR="0051782D" w:rsidRDefault="00000000">
            <w:pPr>
              <w:pStyle w:val="a"/>
              <w:numPr>
                <w:ilvl w:val="0"/>
                <w:numId w:val="0"/>
              </w:numPr>
              <w:jc w:val="center"/>
            </w:pPr>
            <w:r>
              <w:rPr>
                <w:rFonts w:hint="eastAsia"/>
              </w:rPr>
              <w:t>1＜r≤10</w:t>
            </w:r>
          </w:p>
        </w:tc>
        <w:tc>
          <w:tcPr>
            <w:tcW w:w="2349" w:type="dxa"/>
            <w:tcBorders>
              <w:top w:val="single" w:sz="8" w:space="0" w:color="auto"/>
            </w:tcBorders>
            <w:vAlign w:val="center"/>
          </w:tcPr>
          <w:p w14:paraId="7AEA364C" w14:textId="77777777" w:rsidR="0051782D" w:rsidRDefault="00000000">
            <w:pPr>
              <w:pStyle w:val="a"/>
              <w:numPr>
                <w:ilvl w:val="0"/>
                <w:numId w:val="0"/>
              </w:numPr>
              <w:jc w:val="center"/>
            </w:pPr>
            <w:r>
              <w:rPr>
                <w:rFonts w:hint="eastAsia"/>
              </w:rPr>
              <w:t>3</w:t>
            </w:r>
            <w:r>
              <w:rPr>
                <w:rFonts w:hint="eastAsia"/>
                <w:vertAlign w:val="superscript"/>
              </w:rPr>
              <w:t>*</w:t>
            </w:r>
          </w:p>
        </w:tc>
      </w:tr>
      <w:tr w:rsidR="0051782D" w14:paraId="2225FAEA" w14:textId="77777777">
        <w:trPr>
          <w:jc w:val="center"/>
        </w:trPr>
        <w:tc>
          <w:tcPr>
            <w:tcW w:w="2529" w:type="dxa"/>
            <w:tcBorders>
              <w:top w:val="single" w:sz="8" w:space="0" w:color="auto"/>
              <w:bottom w:val="single" w:sz="8" w:space="0" w:color="auto"/>
            </w:tcBorders>
          </w:tcPr>
          <w:p w14:paraId="460F4AA9" w14:textId="77777777" w:rsidR="0051782D" w:rsidRDefault="00000000">
            <w:pPr>
              <w:pStyle w:val="a"/>
              <w:numPr>
                <w:ilvl w:val="0"/>
                <w:numId w:val="0"/>
              </w:numPr>
              <w:jc w:val="center"/>
            </w:pPr>
            <w:r>
              <w:rPr>
                <w:rFonts w:hint="eastAsia"/>
              </w:rPr>
              <w:t>10＜r≤100</w:t>
            </w:r>
          </w:p>
        </w:tc>
        <w:tc>
          <w:tcPr>
            <w:tcW w:w="2349" w:type="dxa"/>
          </w:tcPr>
          <w:p w14:paraId="53B00112" w14:textId="77777777" w:rsidR="0051782D" w:rsidRDefault="00000000">
            <w:pPr>
              <w:pStyle w:val="a"/>
              <w:numPr>
                <w:ilvl w:val="0"/>
                <w:numId w:val="0"/>
              </w:numPr>
              <w:jc w:val="center"/>
            </w:pPr>
            <w:r>
              <w:rPr>
                <w:rFonts w:hint="eastAsia"/>
              </w:rPr>
              <w:t>2</w:t>
            </w:r>
          </w:p>
        </w:tc>
      </w:tr>
      <w:tr w:rsidR="0051782D" w14:paraId="09F2E1F2" w14:textId="77777777">
        <w:trPr>
          <w:jc w:val="center"/>
        </w:trPr>
        <w:tc>
          <w:tcPr>
            <w:tcW w:w="2529" w:type="dxa"/>
            <w:tcBorders>
              <w:top w:val="single" w:sz="8" w:space="0" w:color="auto"/>
              <w:bottom w:val="single" w:sz="8" w:space="0" w:color="auto"/>
            </w:tcBorders>
          </w:tcPr>
          <w:p w14:paraId="2617A1A6" w14:textId="77777777" w:rsidR="0051782D" w:rsidRDefault="00000000">
            <w:pPr>
              <w:pStyle w:val="a"/>
              <w:numPr>
                <w:ilvl w:val="0"/>
                <w:numId w:val="0"/>
              </w:numPr>
              <w:jc w:val="center"/>
            </w:pPr>
            <w:r>
              <w:rPr>
                <w:rFonts w:hint="eastAsia"/>
              </w:rPr>
              <w:lastRenderedPageBreak/>
              <w:t>100＜r≤1000</w:t>
            </w:r>
          </w:p>
        </w:tc>
        <w:tc>
          <w:tcPr>
            <w:tcW w:w="2349" w:type="dxa"/>
          </w:tcPr>
          <w:p w14:paraId="73A13172" w14:textId="77777777" w:rsidR="0051782D" w:rsidRDefault="00000000">
            <w:pPr>
              <w:pStyle w:val="a"/>
              <w:numPr>
                <w:ilvl w:val="0"/>
                <w:numId w:val="0"/>
              </w:numPr>
              <w:jc w:val="center"/>
            </w:pPr>
            <w:r>
              <w:rPr>
                <w:rFonts w:hint="eastAsia"/>
              </w:rPr>
              <w:t>1.25</w:t>
            </w:r>
          </w:p>
        </w:tc>
      </w:tr>
      <w:tr w:rsidR="0051782D" w14:paraId="404527A7" w14:textId="77777777">
        <w:trPr>
          <w:jc w:val="center"/>
        </w:trPr>
        <w:tc>
          <w:tcPr>
            <w:tcW w:w="4878" w:type="dxa"/>
            <w:gridSpan w:val="2"/>
            <w:tcBorders>
              <w:top w:val="single" w:sz="8" w:space="0" w:color="auto"/>
            </w:tcBorders>
          </w:tcPr>
          <w:p w14:paraId="45D2BA62" w14:textId="77777777" w:rsidR="0051782D" w:rsidRDefault="00000000">
            <w:pPr>
              <w:ind w:leftChars="200" w:left="600" w:hangingChars="100" w:hanging="180"/>
            </w:pPr>
            <w:r>
              <w:rPr>
                <w:rFonts w:ascii="宋体"/>
                <w:sz w:val="18"/>
                <w:vertAlign w:val="superscript"/>
              </w:rPr>
              <w:t>a</w:t>
            </w:r>
            <w:r>
              <w:rPr>
                <w:rFonts w:ascii="宋体"/>
                <w:sz w:val="18"/>
              </w:rPr>
              <w:t xml:space="preserve"> </w:t>
            </w:r>
            <w:r>
              <w:rPr>
                <w:rFonts w:ascii="宋体" w:hint="eastAsia"/>
                <w:sz w:val="18"/>
              </w:rPr>
              <w:t>对于随机性不规则的电压波动，表中标有“*”的值为其限值。</w:t>
            </w:r>
          </w:p>
        </w:tc>
      </w:tr>
    </w:tbl>
    <w:p w14:paraId="380F1AA5" w14:textId="77777777" w:rsidR="0051782D" w:rsidRDefault="0051782D">
      <w:pPr>
        <w:pStyle w:val="aff6"/>
      </w:pPr>
    </w:p>
    <w:p w14:paraId="367DF1C7" w14:textId="77777777" w:rsidR="0051782D" w:rsidRDefault="00000000">
      <w:pPr>
        <w:pStyle w:val="a2"/>
        <w:ind w:left="0"/>
        <w:outlineLvl w:val="1"/>
        <w:rPr>
          <w:snapToGrid w:val="0"/>
        </w:rPr>
      </w:pPr>
      <w:bookmarkStart w:id="409" w:name="_Toc13235"/>
      <w:bookmarkStart w:id="410" w:name="_Toc17266"/>
      <w:bookmarkStart w:id="411" w:name="_Toc20895"/>
      <w:bookmarkStart w:id="412" w:name="_Toc6925"/>
      <w:bookmarkStart w:id="413" w:name="_Toc30870"/>
      <w:bookmarkStart w:id="414" w:name="_Toc31656"/>
      <w:bookmarkStart w:id="415" w:name="_Toc4028"/>
      <w:r>
        <w:rPr>
          <w:rFonts w:hint="eastAsia"/>
          <w:snapToGrid w:val="0"/>
        </w:rPr>
        <w:t>闪变</w:t>
      </w:r>
      <w:bookmarkEnd w:id="409"/>
      <w:bookmarkEnd w:id="410"/>
      <w:bookmarkEnd w:id="411"/>
      <w:bookmarkEnd w:id="412"/>
      <w:bookmarkEnd w:id="413"/>
      <w:bookmarkEnd w:id="414"/>
      <w:bookmarkEnd w:id="415"/>
    </w:p>
    <w:p w14:paraId="18B11DDC" w14:textId="77777777" w:rsidR="0051782D" w:rsidRDefault="00000000">
      <w:pPr>
        <w:pStyle w:val="aff6"/>
      </w:pPr>
      <w:r>
        <w:rPr>
          <w:rFonts w:hint="eastAsia"/>
        </w:rPr>
        <w:t>光储充一体化站接入配电网，公共连接点的闪变的限值应符合GB/T 12326规定。在系统正常运行的较小方式下，以一周（168 h）为测量周期，所有长时间闪变限值为1。</w:t>
      </w:r>
    </w:p>
    <w:p w14:paraId="5DD34E19" w14:textId="77777777" w:rsidR="0051782D" w:rsidRDefault="00000000">
      <w:pPr>
        <w:pStyle w:val="a2"/>
        <w:ind w:left="0"/>
        <w:outlineLvl w:val="1"/>
        <w:rPr>
          <w:snapToGrid w:val="0"/>
        </w:rPr>
      </w:pPr>
      <w:bookmarkStart w:id="416" w:name="_Toc20109"/>
      <w:bookmarkStart w:id="417" w:name="_Toc2443"/>
      <w:bookmarkStart w:id="418" w:name="_Toc23486"/>
      <w:bookmarkStart w:id="419" w:name="_Toc14433"/>
      <w:bookmarkStart w:id="420" w:name="_Toc13389"/>
      <w:bookmarkStart w:id="421" w:name="_Toc10051"/>
      <w:bookmarkStart w:id="422" w:name="_Toc26688"/>
      <w:r>
        <w:rPr>
          <w:rFonts w:hAnsi="黑体" w:cs="黑体" w:hint="eastAsia"/>
        </w:rPr>
        <w:t>频率</w:t>
      </w:r>
      <w:r>
        <w:rPr>
          <w:rFonts w:hint="eastAsia"/>
          <w:snapToGrid w:val="0"/>
        </w:rPr>
        <w:t>偏差</w:t>
      </w:r>
      <w:bookmarkEnd w:id="416"/>
      <w:bookmarkEnd w:id="417"/>
      <w:bookmarkEnd w:id="418"/>
      <w:bookmarkEnd w:id="419"/>
      <w:bookmarkEnd w:id="420"/>
      <w:bookmarkEnd w:id="421"/>
      <w:bookmarkEnd w:id="422"/>
    </w:p>
    <w:p w14:paraId="0E67F25F" w14:textId="77777777" w:rsidR="0051782D" w:rsidRDefault="00000000">
      <w:pPr>
        <w:pStyle w:val="aff6"/>
      </w:pPr>
      <w:r>
        <w:rPr>
          <w:rFonts w:hint="eastAsia"/>
        </w:rPr>
        <w:t>光储充检一体化充电站接入配电网，公共连接点的电力系统频率偏差限值应符合GB/T 15945规定。用户负荷引起的公共连接点的电网基波频率变化限值为±0.2Hz，</w:t>
      </w:r>
      <w:r>
        <w:rPr>
          <w:rFonts w:hAnsi="宋体" w:cs="宋体"/>
          <w:szCs w:val="21"/>
        </w:rPr>
        <w:t>频率偏差的测量周期应不小于1周（168h）</w:t>
      </w:r>
      <w:r>
        <w:rPr>
          <w:rFonts w:hint="eastAsia"/>
        </w:rPr>
        <w:t>。</w:t>
      </w:r>
    </w:p>
    <w:p w14:paraId="44C9DF75" w14:textId="77777777" w:rsidR="0051782D" w:rsidRDefault="00000000">
      <w:pPr>
        <w:pStyle w:val="a2"/>
        <w:ind w:left="0"/>
        <w:outlineLvl w:val="1"/>
        <w:rPr>
          <w:snapToGrid w:val="0"/>
        </w:rPr>
      </w:pPr>
      <w:bookmarkStart w:id="423" w:name="_Toc16982"/>
      <w:bookmarkStart w:id="424" w:name="_Toc27145"/>
      <w:bookmarkStart w:id="425" w:name="_Toc28208"/>
      <w:bookmarkStart w:id="426" w:name="_Toc30765"/>
      <w:bookmarkStart w:id="427" w:name="_Toc14276"/>
      <w:bookmarkStart w:id="428" w:name="_Toc2190"/>
      <w:bookmarkStart w:id="429" w:name="_Toc19834"/>
      <w:r>
        <w:rPr>
          <w:rFonts w:hint="eastAsia"/>
          <w:snapToGrid w:val="0"/>
        </w:rPr>
        <w:t>监测</w:t>
      </w:r>
      <w:r>
        <w:rPr>
          <w:rFonts w:hAnsi="黑体" w:cs="黑体" w:hint="eastAsia"/>
        </w:rPr>
        <w:t>要求</w:t>
      </w:r>
      <w:bookmarkEnd w:id="423"/>
      <w:bookmarkEnd w:id="424"/>
      <w:bookmarkEnd w:id="425"/>
      <w:bookmarkEnd w:id="426"/>
      <w:bookmarkEnd w:id="427"/>
      <w:bookmarkEnd w:id="428"/>
      <w:bookmarkEnd w:id="429"/>
    </w:p>
    <w:p w14:paraId="0F8E6725" w14:textId="77777777" w:rsidR="0051782D" w:rsidRDefault="00000000">
      <w:pPr>
        <w:pStyle w:val="a3"/>
        <w:spacing w:before="156" w:after="156"/>
        <w:ind w:left="0"/>
        <w:outlineLvl w:val="2"/>
      </w:pPr>
      <w:bookmarkStart w:id="430" w:name="_Toc26014"/>
      <w:bookmarkStart w:id="431" w:name="_Toc15723"/>
      <w:bookmarkStart w:id="432" w:name="_Toc21000"/>
      <w:bookmarkStart w:id="433" w:name="_Toc3894"/>
      <w:r>
        <w:rPr>
          <w:rFonts w:hint="eastAsia"/>
        </w:rPr>
        <w:t>监测仪器技术要求</w:t>
      </w:r>
      <w:bookmarkEnd w:id="430"/>
      <w:bookmarkEnd w:id="431"/>
      <w:bookmarkEnd w:id="432"/>
      <w:bookmarkEnd w:id="433"/>
    </w:p>
    <w:p w14:paraId="6517AF89" w14:textId="77777777" w:rsidR="0051782D" w:rsidRDefault="00000000">
      <w:pPr>
        <w:pStyle w:val="aff6"/>
      </w:pPr>
      <w:r>
        <w:rPr>
          <w:rFonts w:hint="eastAsia"/>
        </w:rPr>
        <w:t>仪器应满足 GB/T 19862 要求，具备上述电能质量指标的监测功能、显示功能、通讯接口、权限管理功能、设置功能、统计功能，并具备阈值设置功能等。仪器应支持权限管理、参数配置、事件记录与溯源功能，事件记录应包含异常发生时间、持续时长、异常值等关键信息。</w:t>
      </w:r>
    </w:p>
    <w:p w14:paraId="58B60458" w14:textId="77777777" w:rsidR="0051782D" w:rsidRDefault="00000000">
      <w:pPr>
        <w:pStyle w:val="a3"/>
        <w:spacing w:before="156" w:after="156"/>
        <w:ind w:left="0"/>
        <w:outlineLvl w:val="2"/>
      </w:pPr>
      <w:bookmarkStart w:id="434" w:name="_Toc23233"/>
      <w:bookmarkStart w:id="435" w:name="_Toc29320"/>
      <w:bookmarkStart w:id="436" w:name="_Toc30602"/>
      <w:bookmarkStart w:id="437" w:name="_Toc26113"/>
      <w:r>
        <w:rPr>
          <w:rFonts w:hint="eastAsia"/>
        </w:rPr>
        <w:t>监测方法</w:t>
      </w:r>
      <w:bookmarkEnd w:id="434"/>
      <w:bookmarkEnd w:id="435"/>
      <w:bookmarkEnd w:id="436"/>
      <w:bookmarkEnd w:id="437"/>
    </w:p>
    <w:p w14:paraId="59D17B2F" w14:textId="77777777" w:rsidR="0051782D" w:rsidRDefault="00000000">
      <w:pPr>
        <w:pStyle w:val="aff6"/>
      </w:pPr>
      <w:r>
        <w:rPr>
          <w:rFonts w:hint="eastAsia"/>
        </w:rPr>
        <w:t>光储充检一体化充电站接入配电网，公共连接点的电能质量监测方法应符合 GB/T 17626.30的相关规定，覆盖光伏满发、储能充放电、充电桩高峰/低谷负荷等典型运行场景。</w:t>
      </w:r>
    </w:p>
    <w:p w14:paraId="546FA466" w14:textId="77777777" w:rsidR="0051782D" w:rsidRDefault="00000000">
      <w:pPr>
        <w:pStyle w:val="a3"/>
        <w:spacing w:before="156" w:after="156"/>
        <w:ind w:left="0"/>
        <w:outlineLvl w:val="2"/>
      </w:pPr>
      <w:bookmarkStart w:id="438" w:name="_Toc32325"/>
      <w:bookmarkStart w:id="439" w:name="_Toc5378"/>
      <w:bookmarkStart w:id="440" w:name="_Toc30208"/>
      <w:bookmarkStart w:id="441" w:name="_Toc15771"/>
      <w:r>
        <w:rPr>
          <w:rFonts w:hint="eastAsia"/>
        </w:rPr>
        <w:t>电压暂降与短时中断</w:t>
      </w:r>
      <w:bookmarkEnd w:id="438"/>
      <w:bookmarkEnd w:id="439"/>
      <w:bookmarkEnd w:id="440"/>
      <w:bookmarkEnd w:id="441"/>
    </w:p>
    <w:p w14:paraId="5A02AD3A" w14:textId="77777777" w:rsidR="0051782D" w:rsidRDefault="00000000">
      <w:pPr>
        <w:pStyle w:val="aff6"/>
      </w:pPr>
      <w:r>
        <w:rPr>
          <w:rFonts w:hint="eastAsia"/>
        </w:rPr>
        <w:t>光储充检一体化充电站接入配电网，应开展公共连接点的电压暂降与短时中断的相关指标测试、统计和评估，具体要求应满足GB/T 30137的相关规定。对公共连接点单一测点一定时间（典型值为一年）内的电压暂降与短时中断事件统计表开展统计，对系统平均方均根值变动频率等推荐指标开展计算。由于用户负荷变化，引起公共连接点的电压暂降与短时中断的检测阈值一般设置为0.9 p.u.，短时中断的检测阈值一般设置为0.1 p.u.。</w:t>
      </w:r>
    </w:p>
    <w:p w14:paraId="33BC718C" w14:textId="77777777" w:rsidR="0051782D" w:rsidRDefault="00000000">
      <w:pPr>
        <w:pStyle w:val="a1"/>
        <w:ind w:left="0"/>
        <w:outlineLvl w:val="0"/>
        <w:rPr>
          <w:rFonts w:hAnsi="黑体" w:cs="黑体" w:hint="eastAsia"/>
        </w:rPr>
      </w:pPr>
      <w:bookmarkStart w:id="442" w:name="_Toc15806"/>
      <w:bookmarkStart w:id="443" w:name="_Toc10048"/>
      <w:bookmarkStart w:id="444" w:name="_Toc2554"/>
      <w:bookmarkStart w:id="445" w:name="_Toc4647"/>
      <w:bookmarkStart w:id="446" w:name="_Toc10899"/>
      <w:r>
        <w:rPr>
          <w:rFonts w:hAnsi="黑体" w:cs="黑体" w:hint="eastAsia"/>
        </w:rPr>
        <w:t>调节控制</w:t>
      </w:r>
      <w:bookmarkEnd w:id="442"/>
      <w:bookmarkEnd w:id="443"/>
      <w:bookmarkEnd w:id="444"/>
      <w:bookmarkEnd w:id="445"/>
      <w:bookmarkEnd w:id="446"/>
    </w:p>
    <w:p w14:paraId="5F5CDBC7" w14:textId="77777777" w:rsidR="0051782D" w:rsidRDefault="00000000">
      <w:pPr>
        <w:pStyle w:val="a2"/>
        <w:ind w:left="0"/>
        <w:rPr>
          <w:rFonts w:ascii="宋体" w:eastAsia="宋体"/>
        </w:rPr>
      </w:pPr>
      <w:bookmarkStart w:id="447" w:name="_Toc16108"/>
      <w:bookmarkStart w:id="448" w:name="_Toc8041"/>
      <w:r>
        <w:rPr>
          <w:rFonts w:ascii="宋体" w:eastAsia="宋体" w:hint="eastAsia"/>
        </w:rPr>
        <w:t>满足可调节负荷准入条件的光储充检一体化充电站，应遵循安全可靠、经济实用和因地制宜的总体要求，开展负荷资源接入工作。</w:t>
      </w:r>
      <w:bookmarkEnd w:id="447"/>
      <w:bookmarkEnd w:id="448"/>
    </w:p>
    <w:p w14:paraId="08684BEB" w14:textId="77777777" w:rsidR="0051782D" w:rsidRDefault="00000000">
      <w:pPr>
        <w:pStyle w:val="a2"/>
        <w:ind w:left="0"/>
        <w:rPr>
          <w:rFonts w:ascii="宋体" w:eastAsia="宋体"/>
        </w:rPr>
      </w:pPr>
      <w:bookmarkStart w:id="449" w:name="_Toc5776"/>
      <w:bookmarkStart w:id="450" w:name="_Toc12457"/>
      <w:r>
        <w:rPr>
          <w:rFonts w:ascii="宋体" w:eastAsia="宋体" w:hint="eastAsia"/>
        </w:rPr>
        <w:lastRenderedPageBreak/>
        <w:t>光储充检一体化充电站可通过与负荷聚合商签订管理服务协议的方式，接入聚合商平台，包括新型电力负荷管理平台或第三方独立主体（虚拟电厂）聚合平台，或通过大用户模式接入配电自动化系统，与电网调度运行管理相关信息系统实现信息互通，具备按照电网调度指令或既定控制策略参与调节的能力。</w:t>
      </w:r>
      <w:bookmarkEnd w:id="449"/>
      <w:bookmarkEnd w:id="450"/>
    </w:p>
    <w:p w14:paraId="24353C0E" w14:textId="77777777" w:rsidR="0051782D" w:rsidRDefault="00000000">
      <w:pPr>
        <w:pStyle w:val="a2"/>
        <w:ind w:left="0"/>
        <w:rPr>
          <w:rFonts w:ascii="宋体" w:eastAsia="宋体"/>
        </w:rPr>
      </w:pPr>
      <w:bookmarkStart w:id="451" w:name="_Toc16425"/>
      <w:bookmarkStart w:id="452" w:name="_Toc10081"/>
      <w:r>
        <w:rPr>
          <w:rFonts w:ascii="宋体" w:eastAsia="宋体" w:hint="eastAsia"/>
        </w:rPr>
        <w:t>光储充检一体化充电站在正式通过聚合商平台或大用户模式，接入调度机构时，其上送数据应稳定运行超过15日且完成装置的自动功率控制性能测试报告编制，并通过审核。同时，应配合负荷聚合商或调度机构开展自动功率控制闭环联调试验，并通过验收。</w:t>
      </w:r>
      <w:bookmarkEnd w:id="451"/>
      <w:bookmarkEnd w:id="452"/>
    </w:p>
    <w:p w14:paraId="294DBC14" w14:textId="77777777" w:rsidR="0051782D" w:rsidRDefault="00000000">
      <w:pPr>
        <w:pStyle w:val="a2"/>
        <w:ind w:left="0"/>
        <w:rPr>
          <w:rFonts w:ascii="宋体" w:eastAsia="宋体"/>
        </w:rPr>
      </w:pPr>
      <w:bookmarkStart w:id="453" w:name="_Toc4750"/>
      <w:bookmarkStart w:id="454" w:name="_Toc24626"/>
      <w:r>
        <w:rPr>
          <w:rFonts w:ascii="宋体" w:eastAsia="宋体" w:hAnsi="宋体" w:cs="宋体" w:hint="eastAsia"/>
        </w:rPr>
        <w:t>光储充检一体化充电站中电动汽车应在动力电池安全检测通过的情况下，才能参与电网调节控制环节，并将相关信息上送至负荷聚合商或调度机构。</w:t>
      </w:r>
      <w:bookmarkEnd w:id="453"/>
      <w:bookmarkEnd w:id="454"/>
    </w:p>
    <w:p w14:paraId="263520B0" w14:textId="77777777" w:rsidR="0051782D" w:rsidRDefault="00000000">
      <w:pPr>
        <w:pStyle w:val="a2"/>
        <w:ind w:left="0"/>
        <w:rPr>
          <w:rFonts w:ascii="宋体" w:eastAsia="宋体" w:hAnsi="宋体" w:cs="宋体" w:hint="eastAsia"/>
        </w:rPr>
      </w:pPr>
      <w:bookmarkStart w:id="455" w:name="_Toc14041"/>
      <w:bookmarkStart w:id="456" w:name="_Toc24170"/>
      <w:r>
        <w:rPr>
          <w:rFonts w:ascii="宋体" w:eastAsia="宋体" w:hAnsi="宋体" w:cs="宋体" w:hint="eastAsia"/>
        </w:rPr>
        <w:t>光储充检一体化充电站接应遵循电网调度运行管理要求，站内能量管理系统统一接收并响应负荷聚合商或调度机构的调节指令，对光伏发电量、储能充放电模式、电动汽车充电功率等要素开展控制，通过公共连接点，实现与配电网的电力交互。</w:t>
      </w:r>
      <w:bookmarkEnd w:id="455"/>
      <w:bookmarkEnd w:id="456"/>
    </w:p>
    <w:p w14:paraId="5F33B61C" w14:textId="77777777" w:rsidR="0051782D" w:rsidRDefault="00000000">
      <w:pPr>
        <w:pStyle w:val="a2"/>
        <w:ind w:left="0"/>
      </w:pPr>
      <w:bookmarkStart w:id="457" w:name="_Toc11002"/>
      <w:bookmarkStart w:id="458" w:name="_Toc7287"/>
      <w:r>
        <w:rPr>
          <w:rFonts w:ascii="宋体" w:eastAsia="宋体" w:hint="eastAsia"/>
        </w:rPr>
        <w:t>单个光储充检一体化</w:t>
      </w:r>
      <w:r>
        <w:rPr>
          <w:rFonts w:ascii="宋体" w:eastAsia="宋体" w:hAnsi="宋体" w:cs="宋体" w:hint="eastAsia"/>
        </w:rPr>
        <w:t>充电</w:t>
      </w:r>
      <w:r>
        <w:rPr>
          <w:rFonts w:ascii="宋体" w:eastAsia="宋体" w:hint="eastAsia"/>
        </w:rPr>
        <w:t>站，在单个时间通过同一负荷聚合商和调度机构只能参与同一类业务。</w:t>
      </w:r>
      <w:bookmarkEnd w:id="457"/>
      <w:bookmarkEnd w:id="458"/>
    </w:p>
    <w:p w14:paraId="5DDE3686" w14:textId="77777777" w:rsidR="0051782D" w:rsidRDefault="00000000">
      <w:pPr>
        <w:pStyle w:val="a2"/>
        <w:ind w:left="0"/>
      </w:pPr>
      <w:bookmarkStart w:id="459" w:name="_Toc10319"/>
      <w:bookmarkStart w:id="460" w:name="_Toc2323"/>
      <w:r>
        <w:rPr>
          <w:rFonts w:ascii="宋体" w:eastAsia="宋体" w:hint="eastAsia"/>
        </w:rPr>
        <w:t>根据负荷聚合商和调度机构的经营管理业务要求，光储充检一体化充电站应配合开展技术改造，提升光储充检一体化充电站实时采集上送和控制调节能力。</w:t>
      </w:r>
      <w:bookmarkEnd w:id="459"/>
      <w:bookmarkEnd w:id="460"/>
    </w:p>
    <w:p w14:paraId="30DE912A" w14:textId="77777777" w:rsidR="0051782D" w:rsidRDefault="00000000">
      <w:pPr>
        <w:pStyle w:val="a2"/>
        <w:ind w:left="0"/>
      </w:pPr>
      <w:bookmarkStart w:id="461" w:name="_Toc29216"/>
      <w:bookmarkStart w:id="462" w:name="_Toc5917"/>
      <w:r>
        <w:rPr>
          <w:rFonts w:ascii="宋体" w:eastAsia="宋体" w:hint="eastAsia"/>
        </w:rPr>
        <w:t>光储充检一体化充电站参与调节控制时，其中分布式储能装置、</w:t>
      </w:r>
      <w:r>
        <w:rPr>
          <w:rFonts w:ascii="宋体" w:eastAsia="宋体" w:hAnsi="宋体" w:cs="宋体" w:hint="eastAsia"/>
        </w:rPr>
        <w:t>车网互动</w:t>
      </w:r>
      <w:r>
        <w:rPr>
          <w:rFonts w:ascii="宋体" w:eastAsia="宋体" w:hint="eastAsia"/>
        </w:rPr>
        <w:t>及有序充电桩等可调节负荷资源的调节速率不宜低于最大调节能力的1.5%/min，调节精度不宜大于最大调节能力的1%，响应时间不宜高于60s，普通充电桩可调节负荷资源的调节速率不宜低于最大调节能力的1%/min，调节精度不宜大于最大调节能力的1.5%，响应时间不宜高于120s。</w:t>
      </w:r>
      <w:bookmarkEnd w:id="461"/>
      <w:bookmarkEnd w:id="462"/>
    </w:p>
    <w:p w14:paraId="6573D3F8" w14:textId="77777777" w:rsidR="0051782D" w:rsidRDefault="00000000">
      <w:pPr>
        <w:pStyle w:val="a2"/>
        <w:ind w:left="0"/>
        <w:rPr>
          <w:rFonts w:ascii="宋体" w:eastAsia="宋体" w:hAnsi="宋体" w:cs="宋体" w:hint="eastAsia"/>
        </w:rPr>
      </w:pPr>
      <w:bookmarkStart w:id="463" w:name="_Toc8785"/>
      <w:bookmarkStart w:id="464" w:name="_Toc22768"/>
      <w:r>
        <w:rPr>
          <w:rFonts w:ascii="宋体" w:eastAsia="宋体" w:hAnsi="宋体" w:cs="宋体" w:hint="eastAsia"/>
        </w:rPr>
        <w:t>光储充检一体化充电站接应支持反向功率流动计算和孤岛运行分析，在不影响用户充（换）电的情况下，应支持短时离网孤岛运行。</w:t>
      </w:r>
      <w:bookmarkEnd w:id="463"/>
      <w:bookmarkEnd w:id="464"/>
    </w:p>
    <w:p w14:paraId="2797B786" w14:textId="77777777" w:rsidR="0051782D" w:rsidRDefault="00000000">
      <w:pPr>
        <w:pStyle w:val="a1"/>
        <w:ind w:left="0"/>
        <w:outlineLvl w:val="0"/>
        <w:rPr>
          <w:rFonts w:hAnsi="黑体" w:cs="黑体" w:hint="eastAsia"/>
        </w:rPr>
      </w:pPr>
      <w:bookmarkStart w:id="465" w:name="_Toc1634"/>
      <w:bookmarkStart w:id="466" w:name="_Toc10181"/>
      <w:bookmarkStart w:id="467" w:name="_Toc12969"/>
      <w:bookmarkStart w:id="468" w:name="_Toc2831"/>
      <w:bookmarkStart w:id="469" w:name="_Toc22375"/>
      <w:bookmarkStart w:id="470" w:name="_Toc24783"/>
      <w:bookmarkStart w:id="471" w:name="_Toc21228"/>
      <w:r>
        <w:rPr>
          <w:rFonts w:hAnsi="黑体" w:cs="黑体" w:hint="eastAsia"/>
        </w:rPr>
        <w:t>新技术应用</w:t>
      </w:r>
      <w:bookmarkEnd w:id="465"/>
      <w:bookmarkEnd w:id="466"/>
      <w:bookmarkEnd w:id="467"/>
      <w:bookmarkEnd w:id="468"/>
      <w:bookmarkEnd w:id="469"/>
      <w:bookmarkEnd w:id="470"/>
      <w:bookmarkEnd w:id="471"/>
    </w:p>
    <w:p w14:paraId="02684EC6" w14:textId="77777777" w:rsidR="0051782D" w:rsidRDefault="00000000">
      <w:pPr>
        <w:pStyle w:val="a2"/>
        <w:ind w:left="0"/>
        <w:rPr>
          <w:rFonts w:ascii="宋体" w:eastAsia="宋体" w:hAnsi="宋体" w:cs="宋体" w:hint="eastAsia"/>
        </w:rPr>
      </w:pPr>
      <w:bookmarkStart w:id="472" w:name="_Toc28059"/>
      <w:bookmarkStart w:id="473" w:name="_Toc22659"/>
      <w:r>
        <w:rPr>
          <w:rFonts w:ascii="宋体" w:eastAsia="宋体" w:hAnsi="宋体" w:cs="宋体" w:hint="eastAsia"/>
        </w:rPr>
        <w:t>光储充检一体化充电站宜根据当地搭载双向充电技术的电动汽车数量和发展趋势，因地制宜配置车网互动充电桩，支撑电动汽车反向送电、双向监测等业务，加快推进车网互动等新技术示范和应用。</w:t>
      </w:r>
      <w:bookmarkEnd w:id="472"/>
      <w:bookmarkEnd w:id="473"/>
    </w:p>
    <w:p w14:paraId="76A2B328" w14:textId="77777777" w:rsidR="0051782D" w:rsidRDefault="00000000">
      <w:pPr>
        <w:pStyle w:val="a2"/>
        <w:ind w:left="0"/>
        <w:rPr>
          <w:rFonts w:ascii="宋体" w:eastAsia="宋体" w:hAnsi="宋体" w:cs="宋体" w:hint="eastAsia"/>
        </w:rPr>
      </w:pPr>
      <w:bookmarkStart w:id="474" w:name="_Toc29873"/>
      <w:bookmarkStart w:id="475" w:name="_Toc14697"/>
      <w:r>
        <w:rPr>
          <w:rFonts w:ascii="宋体" w:eastAsia="宋体" w:hAnsi="宋体" w:cs="宋体" w:hint="eastAsia"/>
        </w:rPr>
        <w:t>光储充检一体化充电站宜参考借鉴微电网运行管理模式，统筹融合光伏发电系统、储能电池系统、电动汽车充（换）电系统以及接入配电网的电力交互等，构建并离网多状态的站内能量管理系统。并网时，以最优经济运行为目的，推动全要素协同；孤岛时，以保障重要充（换）电负荷为目的，尽可能支撑充（换）电业务运行。</w:t>
      </w:r>
      <w:bookmarkEnd w:id="474"/>
      <w:bookmarkEnd w:id="475"/>
    </w:p>
    <w:p w14:paraId="5ABFEC55" w14:textId="77777777" w:rsidR="0051782D" w:rsidRDefault="00000000">
      <w:pPr>
        <w:pStyle w:val="a2"/>
        <w:ind w:left="0"/>
        <w:rPr>
          <w:rFonts w:ascii="宋体" w:eastAsia="宋体" w:hAnsi="宋体" w:cs="宋体" w:hint="eastAsia"/>
        </w:rPr>
        <w:sectPr w:rsidR="0051782D">
          <w:headerReference w:type="default" r:id="rId13"/>
          <w:footerReference w:type="default" r:id="rId14"/>
          <w:pgSz w:w="11906" w:h="16838"/>
          <w:pgMar w:top="567" w:right="1134" w:bottom="1134" w:left="1417" w:header="1418" w:footer="1134" w:gutter="0"/>
          <w:pgNumType w:start="1"/>
          <w:cols w:space="720"/>
          <w:formProt w:val="0"/>
          <w:docGrid w:type="lines" w:linePitch="312"/>
        </w:sectPr>
      </w:pPr>
      <w:bookmarkStart w:id="476" w:name="_Toc18157"/>
      <w:bookmarkStart w:id="477" w:name="_Toc23047"/>
      <w:r>
        <w:rPr>
          <w:rFonts w:ascii="宋体" w:eastAsia="宋体" w:hAnsi="宋体" w:cs="宋体" w:hint="eastAsia"/>
        </w:rPr>
        <w:t>光储充检一体化充电站宜通过虚拟电厂、负荷聚合商等新型经营主体，参与辅助服务、电力交易、绿电交易等，在充电负荷高峰期，以光伏发电和储能放电为主，可通过公共连接点将盈余电反向送给电</w:t>
      </w:r>
      <w:r>
        <w:rPr>
          <w:rFonts w:ascii="宋体" w:eastAsia="宋体" w:hAnsi="宋体" w:cs="宋体" w:hint="eastAsia"/>
        </w:rPr>
        <w:lastRenderedPageBreak/>
        <w:t>网；在充电负荷低谷期，以光伏发电、配电网供电为主，可通过公共连接点为储能充电，以达到效益最高。</w:t>
      </w:r>
      <w:bookmarkEnd w:id="476"/>
      <w:bookmarkEnd w:id="477"/>
    </w:p>
    <w:p w14:paraId="0FDA71E4" w14:textId="77777777" w:rsidR="0051782D" w:rsidRDefault="0051782D">
      <w:pPr>
        <w:pStyle w:val="aff6"/>
      </w:pPr>
    </w:p>
    <w:p w14:paraId="4A4FF8B7" w14:textId="77777777" w:rsidR="0051782D" w:rsidRDefault="0051782D">
      <w:pPr>
        <w:pStyle w:val="aff6"/>
      </w:pPr>
    </w:p>
    <w:p w14:paraId="790569DB" w14:textId="77777777" w:rsidR="0051782D" w:rsidRDefault="0051782D">
      <w:pPr>
        <w:overflowPunct w:val="0"/>
        <w:spacing w:line="420" w:lineRule="exact"/>
        <w:ind w:firstLine="425"/>
      </w:pPr>
      <w:bookmarkStart w:id="478" w:name="_Toc309992151"/>
      <w:bookmarkStart w:id="479" w:name="_Toc309992150"/>
      <w:bookmarkEnd w:id="478"/>
      <w:bookmarkEnd w:id="479"/>
    </w:p>
    <w:p w14:paraId="5FBAED8B" w14:textId="77777777" w:rsidR="0051782D" w:rsidRDefault="0051782D">
      <w:pPr>
        <w:overflowPunct w:val="0"/>
        <w:spacing w:line="420" w:lineRule="exact"/>
      </w:pPr>
    </w:p>
    <w:p w14:paraId="2137D86C" w14:textId="77777777" w:rsidR="0051782D" w:rsidRDefault="0051782D">
      <w:pPr>
        <w:overflowPunct w:val="0"/>
        <w:spacing w:line="420" w:lineRule="exact"/>
        <w:ind w:firstLine="425"/>
      </w:pPr>
    </w:p>
    <w:p w14:paraId="7676626D" w14:textId="77777777" w:rsidR="0051782D" w:rsidRDefault="0051782D">
      <w:pPr>
        <w:overflowPunct w:val="0"/>
        <w:spacing w:line="420" w:lineRule="exact"/>
        <w:ind w:firstLine="425"/>
      </w:pPr>
    </w:p>
    <w:p w14:paraId="36AADC78" w14:textId="77777777" w:rsidR="0051782D" w:rsidRDefault="0051782D">
      <w:pPr>
        <w:overflowPunct w:val="0"/>
        <w:spacing w:line="420" w:lineRule="exact"/>
        <w:ind w:firstLine="425"/>
      </w:pPr>
    </w:p>
    <w:p w14:paraId="53D8BE96" w14:textId="77777777" w:rsidR="0051782D" w:rsidRDefault="0051782D">
      <w:pPr>
        <w:overflowPunct w:val="0"/>
        <w:spacing w:line="420" w:lineRule="exact"/>
        <w:ind w:firstLine="425"/>
      </w:pPr>
    </w:p>
    <w:p w14:paraId="3D1455E9" w14:textId="77777777" w:rsidR="0051782D" w:rsidRDefault="0051782D">
      <w:pPr>
        <w:overflowPunct w:val="0"/>
        <w:spacing w:line="420" w:lineRule="exact"/>
        <w:ind w:firstLine="425"/>
      </w:pPr>
    </w:p>
    <w:p w14:paraId="5030A82E" w14:textId="77777777" w:rsidR="0051782D" w:rsidRDefault="0051782D">
      <w:pPr>
        <w:overflowPunct w:val="0"/>
        <w:spacing w:line="420" w:lineRule="exact"/>
        <w:ind w:firstLine="425"/>
      </w:pPr>
    </w:p>
    <w:p w14:paraId="75B0D30F" w14:textId="77777777" w:rsidR="0051782D" w:rsidRDefault="0051782D">
      <w:pPr>
        <w:overflowPunct w:val="0"/>
        <w:spacing w:line="420" w:lineRule="exact"/>
        <w:ind w:firstLine="425"/>
      </w:pPr>
    </w:p>
    <w:p w14:paraId="1B9DEB4D" w14:textId="77777777" w:rsidR="0051782D" w:rsidRDefault="0051782D">
      <w:pPr>
        <w:overflowPunct w:val="0"/>
        <w:spacing w:line="420" w:lineRule="exact"/>
        <w:ind w:firstLine="425"/>
      </w:pPr>
    </w:p>
    <w:p w14:paraId="14589E66" w14:textId="77777777" w:rsidR="0051782D" w:rsidRDefault="00000000">
      <w:pPr>
        <w:jc w:val="center"/>
        <w:rPr>
          <w:rFonts w:ascii="黑体" w:eastAsia="黑体" w:hAnsi="黑体" w:hint="eastAsia"/>
          <w:sz w:val="44"/>
        </w:rPr>
      </w:pPr>
      <w:r>
        <w:rPr>
          <w:rFonts w:ascii="黑体" w:eastAsia="黑体" w:hAnsi="黑体" w:hint="eastAsia"/>
          <w:sz w:val="44"/>
        </w:rPr>
        <w:t>光储充检一体化充电站接入配电网技术规范</w:t>
      </w:r>
    </w:p>
    <w:p w14:paraId="26C17617" w14:textId="77777777" w:rsidR="0051782D" w:rsidRDefault="0051782D">
      <w:pPr>
        <w:overflowPunct w:val="0"/>
        <w:spacing w:line="420" w:lineRule="exact"/>
        <w:ind w:firstLine="425"/>
      </w:pPr>
    </w:p>
    <w:p w14:paraId="66DC0B52" w14:textId="77777777" w:rsidR="0051782D" w:rsidRDefault="0051782D">
      <w:pPr>
        <w:overflowPunct w:val="0"/>
        <w:spacing w:line="420" w:lineRule="exact"/>
        <w:ind w:firstLine="425"/>
      </w:pPr>
    </w:p>
    <w:p w14:paraId="22AB471F" w14:textId="77777777" w:rsidR="0051782D" w:rsidRDefault="00000000">
      <w:pPr>
        <w:pStyle w:val="a1"/>
        <w:numPr>
          <w:ilvl w:val="255"/>
          <w:numId w:val="0"/>
        </w:numPr>
        <w:spacing w:beforeLines="0" w:afterLines="0"/>
        <w:jc w:val="center"/>
        <w:outlineLvl w:val="0"/>
        <w:rPr>
          <w:rFonts w:hAnsi="黑体" w:hint="eastAsia"/>
          <w:sz w:val="28"/>
        </w:rPr>
        <w:sectPr w:rsidR="0051782D">
          <w:pgSz w:w="11906" w:h="16838"/>
          <w:pgMar w:top="567" w:right="1134" w:bottom="1134" w:left="1417" w:header="1418" w:footer="1134" w:gutter="0"/>
          <w:cols w:space="720"/>
          <w:formProt w:val="0"/>
          <w:docGrid w:type="lines" w:linePitch="312"/>
        </w:sectPr>
      </w:pPr>
      <w:bookmarkStart w:id="480" w:name="_Toc195281534"/>
      <w:bookmarkStart w:id="481" w:name="_Toc2250"/>
      <w:bookmarkStart w:id="482" w:name="_Toc21357"/>
      <w:bookmarkStart w:id="483" w:name="_Toc434500498"/>
      <w:r>
        <w:rPr>
          <w:rFonts w:hAnsi="黑体" w:hint="eastAsia"/>
          <w:sz w:val="28"/>
        </w:rPr>
        <w:t>编 制 说 明</w:t>
      </w:r>
      <w:bookmarkEnd w:id="480"/>
      <w:bookmarkEnd w:id="481"/>
      <w:bookmarkEnd w:id="482"/>
      <w:bookmarkEnd w:id="483"/>
    </w:p>
    <w:sdt>
      <w:sdtPr>
        <w:rPr>
          <w:rFonts w:hAnsi="黑体" w:hint="eastAsia"/>
          <w:b/>
          <w:bCs/>
          <w:sz w:val="28"/>
        </w:rPr>
        <w:id w:val="-686284338"/>
        <w15:color w:val="DBDBDB"/>
        <w:docPartObj>
          <w:docPartGallery w:val="Table of Contents"/>
          <w:docPartUnique/>
        </w:docPartObj>
      </w:sdtPr>
      <w:sdtEndPr>
        <w:rPr>
          <w:rFonts w:hAnsi="宋体"/>
          <w:kern w:val="2"/>
          <w:sz w:val="21"/>
        </w:rPr>
      </w:sdtEndPr>
      <w:sdtContent>
        <w:p w14:paraId="1FD42D2E" w14:textId="77777777" w:rsidR="0051782D" w:rsidRDefault="00000000">
          <w:pPr>
            <w:pStyle w:val="aff6"/>
            <w:ind w:firstLine="562"/>
            <w:jc w:val="center"/>
            <w:rPr>
              <w:rFonts w:hAnsi="黑体" w:hint="eastAsia"/>
              <w:b/>
              <w:bCs/>
              <w:sz w:val="28"/>
            </w:rPr>
          </w:pPr>
          <w:r>
            <w:rPr>
              <w:rFonts w:hAnsi="黑体" w:hint="eastAsia"/>
              <w:b/>
              <w:bCs/>
              <w:sz w:val="28"/>
            </w:rPr>
            <w:t>目  录</w:t>
          </w:r>
        </w:p>
        <w:p w14:paraId="29D60B0A" w14:textId="77777777" w:rsidR="0051782D" w:rsidRDefault="00000000">
          <w:pPr>
            <w:pStyle w:val="TOC1"/>
            <w:tabs>
              <w:tab w:val="clear" w:pos="9241"/>
              <w:tab w:val="right" w:leader="dot" w:pos="9355"/>
            </w:tabs>
            <w:spacing w:before="78" w:after="78"/>
          </w:pPr>
          <w:r>
            <w:fldChar w:fldCharType="begin"/>
          </w:r>
          <w:r>
            <w:instrText xml:space="preserve">TOC \o "1-3" \h \u </w:instrText>
          </w:r>
          <w:r>
            <w:fldChar w:fldCharType="separate"/>
          </w:r>
          <w:hyperlink w:anchor="_Toc29063" w:history="1">
            <w:r>
              <w:rPr>
                <w:rFonts w:hAnsi="宋体" w:hint="eastAsia"/>
              </w:rPr>
              <w:t>1 编制背景</w:t>
            </w:r>
            <w:r>
              <w:tab/>
            </w:r>
            <w:r>
              <w:fldChar w:fldCharType="begin"/>
            </w:r>
            <w:r>
              <w:instrText xml:space="preserve"> PAGEREF _Toc29063 \h </w:instrText>
            </w:r>
            <w:r>
              <w:fldChar w:fldCharType="separate"/>
            </w:r>
            <w:r>
              <w:t>1</w:t>
            </w:r>
            <w:r>
              <w:fldChar w:fldCharType="end"/>
            </w:r>
          </w:hyperlink>
          <w:r>
            <w:rPr>
              <w:rFonts w:hAnsi="宋体" w:hint="eastAsia"/>
            </w:rPr>
            <w:t>6</w:t>
          </w:r>
        </w:p>
        <w:p w14:paraId="1372437F" w14:textId="77777777" w:rsidR="0051782D" w:rsidRDefault="00000000">
          <w:pPr>
            <w:pStyle w:val="TOC1"/>
            <w:tabs>
              <w:tab w:val="clear" w:pos="9241"/>
              <w:tab w:val="right" w:leader="dot" w:pos="9355"/>
            </w:tabs>
            <w:spacing w:before="78" w:after="78"/>
          </w:pPr>
          <w:hyperlink w:anchor="_Toc11094" w:history="1">
            <w:r>
              <w:rPr>
                <w:rFonts w:hAnsi="宋体" w:hint="eastAsia"/>
              </w:rPr>
              <w:t>2 编制主要原则</w:t>
            </w:r>
            <w:r>
              <w:tab/>
            </w:r>
            <w:r>
              <w:fldChar w:fldCharType="begin"/>
            </w:r>
            <w:r>
              <w:instrText xml:space="preserve"> PAGEREF _Toc11094 \h </w:instrText>
            </w:r>
            <w:r>
              <w:fldChar w:fldCharType="separate"/>
            </w:r>
            <w:r>
              <w:t>1</w:t>
            </w:r>
            <w:r>
              <w:fldChar w:fldCharType="end"/>
            </w:r>
          </w:hyperlink>
          <w:r>
            <w:rPr>
              <w:rFonts w:hAnsi="宋体" w:hint="eastAsia"/>
            </w:rPr>
            <w:t>6</w:t>
          </w:r>
        </w:p>
        <w:p w14:paraId="21940FD8" w14:textId="77777777" w:rsidR="0051782D" w:rsidRDefault="00000000">
          <w:pPr>
            <w:pStyle w:val="TOC1"/>
            <w:tabs>
              <w:tab w:val="clear" w:pos="9241"/>
              <w:tab w:val="right" w:leader="dot" w:pos="9355"/>
            </w:tabs>
            <w:spacing w:before="78" w:after="78"/>
          </w:pPr>
          <w:hyperlink w:anchor="_Toc21642" w:history="1">
            <w:r>
              <w:rPr>
                <w:rFonts w:hAnsi="宋体" w:hint="eastAsia"/>
              </w:rPr>
              <w:t>3 主要工作过程</w:t>
            </w:r>
            <w:r>
              <w:tab/>
            </w:r>
            <w:r>
              <w:rPr>
                <w:rFonts w:hint="eastAsia"/>
              </w:rPr>
              <w:t>1</w:t>
            </w:r>
          </w:hyperlink>
          <w:r>
            <w:rPr>
              <w:rFonts w:hAnsi="宋体" w:hint="eastAsia"/>
            </w:rPr>
            <w:t>7</w:t>
          </w:r>
        </w:p>
        <w:p w14:paraId="4830877E" w14:textId="77777777" w:rsidR="0051782D" w:rsidRDefault="00000000">
          <w:pPr>
            <w:pStyle w:val="TOC1"/>
            <w:tabs>
              <w:tab w:val="clear" w:pos="9241"/>
              <w:tab w:val="right" w:leader="dot" w:pos="9355"/>
            </w:tabs>
            <w:spacing w:before="78" w:after="78"/>
            <w:rPr>
              <w:rFonts w:hAnsi="宋体" w:hint="eastAsia"/>
            </w:rPr>
          </w:pPr>
          <w:hyperlink w:anchor="_Toc25146" w:history="1">
            <w:r>
              <w:rPr>
                <w:rFonts w:hAnsi="宋体" w:hint="eastAsia"/>
              </w:rPr>
              <w:t>4 标准结构和内容说明</w:t>
            </w:r>
            <w:r>
              <w:rPr>
                <w:rFonts w:hAnsi="宋体"/>
              </w:rPr>
              <w:tab/>
            </w:r>
            <w:r>
              <w:rPr>
                <w:rFonts w:hAnsi="宋体" w:hint="eastAsia"/>
              </w:rPr>
              <w:t>1</w:t>
            </w:r>
          </w:hyperlink>
          <w:r>
            <w:rPr>
              <w:rFonts w:hAnsi="宋体" w:hint="eastAsia"/>
            </w:rPr>
            <w:t>7</w:t>
          </w:r>
        </w:p>
        <w:p w14:paraId="08CAC531" w14:textId="77777777" w:rsidR="0051782D" w:rsidRDefault="00000000">
          <w:pPr>
            <w:pStyle w:val="TOC1"/>
            <w:tabs>
              <w:tab w:val="clear" w:pos="9241"/>
              <w:tab w:val="right" w:leader="dot" w:pos="9355"/>
            </w:tabs>
            <w:spacing w:before="78" w:after="78"/>
            <w:rPr>
              <w:rFonts w:hAnsi="宋体" w:hint="eastAsia"/>
            </w:rPr>
          </w:pPr>
          <w:hyperlink w:anchor="_Toc13751" w:history="1">
            <w:r>
              <w:rPr>
                <w:rFonts w:hAnsi="宋体" w:hint="eastAsia"/>
              </w:rPr>
              <w:t>5相关标准对比说明</w:t>
            </w:r>
            <w:r>
              <w:rPr>
                <w:rFonts w:hAnsi="宋体"/>
              </w:rPr>
              <w:tab/>
            </w:r>
            <w:r>
              <w:rPr>
                <w:rFonts w:hAnsi="宋体" w:hint="eastAsia"/>
              </w:rPr>
              <w:t>1</w:t>
            </w:r>
          </w:hyperlink>
          <w:r>
            <w:rPr>
              <w:rFonts w:hAnsi="宋体" w:hint="eastAsia"/>
            </w:rPr>
            <w:t>7</w:t>
          </w:r>
        </w:p>
        <w:p w14:paraId="65FBA92A" w14:textId="77777777" w:rsidR="0051782D" w:rsidRDefault="00000000">
          <w:pPr>
            <w:pStyle w:val="TOC1"/>
            <w:tabs>
              <w:tab w:val="clear" w:pos="9241"/>
              <w:tab w:val="right" w:leader="dot" w:pos="9355"/>
            </w:tabs>
            <w:spacing w:before="78" w:after="78"/>
            <w:rPr>
              <w:rFonts w:hAnsi="宋体" w:hint="eastAsia"/>
            </w:rPr>
          </w:pPr>
          <w:hyperlink w:anchor="_Toc15428" w:history="1">
            <w:r>
              <w:rPr>
                <w:rFonts w:hAnsi="宋体" w:hint="eastAsia"/>
              </w:rPr>
              <w:t>6标准实施措施说明</w:t>
            </w:r>
            <w:r>
              <w:rPr>
                <w:rFonts w:hAnsi="宋体"/>
              </w:rPr>
              <w:tab/>
            </w:r>
            <w:r>
              <w:rPr>
                <w:rFonts w:hAnsi="宋体" w:hint="eastAsia"/>
              </w:rPr>
              <w:t>1</w:t>
            </w:r>
          </w:hyperlink>
          <w:r>
            <w:rPr>
              <w:rFonts w:hAnsi="宋体" w:hint="eastAsia"/>
            </w:rPr>
            <w:t>7</w:t>
          </w:r>
        </w:p>
        <w:p w14:paraId="02958B3A" w14:textId="77777777" w:rsidR="0051782D" w:rsidRDefault="00000000">
          <w:pPr>
            <w:pStyle w:val="a1"/>
            <w:numPr>
              <w:ilvl w:val="255"/>
              <w:numId w:val="0"/>
            </w:numPr>
            <w:spacing w:beforeLines="0" w:afterLines="0"/>
            <w:jc w:val="center"/>
            <w:outlineLvl w:val="0"/>
            <w:rPr>
              <w:rFonts w:ascii="宋体" w:eastAsia="宋体" w:hAnsi="宋体" w:hint="eastAsia"/>
              <w:kern w:val="2"/>
            </w:rPr>
          </w:pPr>
          <w:r>
            <w:fldChar w:fldCharType="end"/>
          </w:r>
        </w:p>
      </w:sdtContent>
    </w:sdt>
    <w:p w14:paraId="3E0AD0D0" w14:textId="77777777" w:rsidR="0051782D" w:rsidRDefault="0051782D">
      <w:pPr>
        <w:pStyle w:val="a1"/>
        <w:numPr>
          <w:ilvl w:val="255"/>
          <w:numId w:val="0"/>
        </w:numPr>
        <w:spacing w:beforeLines="0" w:afterLines="0"/>
        <w:jc w:val="center"/>
        <w:outlineLvl w:val="0"/>
        <w:rPr>
          <w:rFonts w:ascii="宋体" w:eastAsia="宋体" w:hAnsi="宋体" w:hint="eastAsia"/>
          <w:kern w:val="2"/>
        </w:rPr>
        <w:sectPr w:rsidR="0051782D">
          <w:pgSz w:w="11906" w:h="16838"/>
          <w:pgMar w:top="567" w:right="1134" w:bottom="1134" w:left="1417" w:header="1418" w:footer="1134" w:gutter="0"/>
          <w:cols w:space="720"/>
          <w:formProt w:val="0"/>
          <w:docGrid w:type="lines" w:linePitch="312"/>
        </w:sectPr>
      </w:pPr>
    </w:p>
    <w:p w14:paraId="3FF9A3DE" w14:textId="77777777" w:rsidR="0051782D" w:rsidRDefault="00000000">
      <w:pPr>
        <w:widowControl/>
        <w:numPr>
          <w:ilvl w:val="1"/>
          <w:numId w:val="0"/>
        </w:numPr>
        <w:tabs>
          <w:tab w:val="left" w:pos="420"/>
        </w:tabs>
        <w:spacing w:beforeLines="100" w:before="312" w:afterLines="100" w:after="312"/>
        <w:outlineLvl w:val="1"/>
        <w:rPr>
          <w:rFonts w:ascii="黑体" w:eastAsia="黑体"/>
          <w:kern w:val="0"/>
        </w:rPr>
      </w:pPr>
      <w:bookmarkStart w:id="484" w:name="_Toc195281535"/>
      <w:bookmarkStart w:id="485" w:name="_Toc434500499"/>
      <w:bookmarkStart w:id="486" w:name="_Toc14197"/>
      <w:bookmarkStart w:id="487" w:name="_Toc1085"/>
      <w:r>
        <w:rPr>
          <w:rFonts w:ascii="黑体" w:eastAsia="黑体" w:hint="eastAsia"/>
          <w:kern w:val="0"/>
        </w:rPr>
        <w:lastRenderedPageBreak/>
        <w:t>1  编制背景</w:t>
      </w:r>
      <w:bookmarkEnd w:id="484"/>
      <w:bookmarkEnd w:id="485"/>
      <w:bookmarkEnd w:id="486"/>
      <w:bookmarkEnd w:id="487"/>
    </w:p>
    <w:p w14:paraId="67104021" w14:textId="77777777" w:rsidR="0051782D" w:rsidRDefault="00000000">
      <w:pPr>
        <w:pStyle w:val="aff6"/>
      </w:pPr>
      <w:r>
        <w:rPr>
          <w:rFonts w:ascii="Calibri" w:hAnsi="Calibri" w:hint="eastAsia"/>
          <w:szCs w:val="21"/>
        </w:rPr>
        <w:t>本</w:t>
      </w:r>
      <w:r>
        <w:rPr>
          <w:rFonts w:hint="eastAsia"/>
        </w:rPr>
        <w:t>标准是根据电机咨[2024]55号文“中国电机工程学会关于印发‘中国电机工程学会 2024 年标准计划（第二批）’的通知”下达的制定任务（项目序号33：</w:t>
      </w:r>
      <w:r>
        <w:rPr>
          <w:rFonts w:hAnsi="宋体" w:hint="eastAsia"/>
        </w:rPr>
        <w:t>光储充检一体化充电站接入配电网技术规范</w:t>
      </w:r>
      <w:r>
        <w:rPr>
          <w:rFonts w:hint="eastAsia"/>
        </w:rPr>
        <w:t>）进行制定的。由</w:t>
      </w:r>
      <w:r>
        <w:rPr>
          <w:rFonts w:hAnsi="宋体" w:hint="eastAsia"/>
        </w:rPr>
        <w:t>国网福建省电力有限公司经济技术研究院、国家电网有限公司经济技术研究院、武汉大学、福州大学、国网江苏省电力有限公司经济技术研究院、国网福建省电力有限公司泉州供电公司、国网福建省电力有限公司漳州供电公司</w:t>
      </w:r>
      <w:r>
        <w:rPr>
          <w:rFonts w:hint="eastAsia"/>
        </w:rPr>
        <w:t>负责起草。</w:t>
      </w:r>
    </w:p>
    <w:p w14:paraId="757932F0" w14:textId="77777777" w:rsidR="0051782D" w:rsidRDefault="00000000">
      <w:pPr>
        <w:pStyle w:val="aff6"/>
      </w:pPr>
      <w:r>
        <w:rPr>
          <w:rFonts w:ascii="Calibri" w:hAnsi="Calibri" w:hint="eastAsia"/>
          <w:szCs w:val="21"/>
        </w:rPr>
        <w:t>随着新能源汽车产业进入发展高速期，光储充检一体化充电站等新型充电设施数量大规模增加，其接入配电网对供电能力、电能质量等带来巨大挑战，并且新型充电设施接入配电网缺乏体系化技术规范。因此，本标准的制定旨在规范光储充检一体化充电站接入配电网的一次系统、二次系统、电能质量、调节控制与新技术应用的各项技术细则，保障光储充检一体化充电站与配电网安全协调运行，</w:t>
      </w:r>
      <w:r>
        <w:rPr>
          <w:rFonts w:ascii="Calibri" w:hAnsi="Calibri"/>
          <w:szCs w:val="21"/>
        </w:rPr>
        <w:t>推动清洁能源转型。</w:t>
      </w:r>
    </w:p>
    <w:p w14:paraId="45A4122E" w14:textId="77777777" w:rsidR="0051782D" w:rsidRDefault="00000000">
      <w:pPr>
        <w:pStyle w:val="aff6"/>
      </w:pPr>
      <w:r>
        <w:rPr>
          <w:rFonts w:hint="eastAsia"/>
        </w:rPr>
        <w:t>本标准的实施提升了</w:t>
      </w:r>
      <w:r>
        <w:rPr>
          <w:rFonts w:ascii="Calibri" w:hAnsi="Calibri" w:hint="eastAsia"/>
          <w:szCs w:val="21"/>
        </w:rPr>
        <w:t>光储充检一体化充电站接入配电网的安全稳定性，促进车位互动等新技术应用，推动了电动汽车及光储充检一体化充电站高质量发展，使得电力系统向更加安全、可靠、高效和可持续的方向发展。</w:t>
      </w:r>
    </w:p>
    <w:p w14:paraId="425A4541" w14:textId="77777777" w:rsidR="0051782D" w:rsidRDefault="00000000">
      <w:pPr>
        <w:pStyle w:val="11"/>
        <w:spacing w:before="312" w:after="312"/>
        <w:rPr>
          <w:rFonts w:ascii="宋体" w:hAnsi="宋体" w:hint="eastAsia"/>
          <w:szCs w:val="21"/>
        </w:rPr>
      </w:pPr>
      <w:bookmarkStart w:id="488" w:name="_Toc11094"/>
      <w:r>
        <w:rPr>
          <w:rFonts w:ascii="黑体" w:hint="eastAsia"/>
          <w:kern w:val="0"/>
          <w:szCs w:val="20"/>
        </w:rPr>
        <w:t>2 编制</w:t>
      </w:r>
      <w:r>
        <w:rPr>
          <w:rFonts w:ascii="宋体" w:hAnsi="宋体" w:hint="eastAsia"/>
          <w:szCs w:val="21"/>
        </w:rPr>
        <w:t>主要原则</w:t>
      </w:r>
      <w:bookmarkEnd w:id="488"/>
    </w:p>
    <w:p w14:paraId="1C1FA096" w14:textId="77777777" w:rsidR="0051782D" w:rsidRDefault="00000000">
      <w:pPr>
        <w:pStyle w:val="af0"/>
        <w:numPr>
          <w:ilvl w:val="0"/>
          <w:numId w:val="0"/>
        </w:numPr>
        <w:spacing w:beforeLines="50" w:before="156" w:afterLines="50" w:after="156"/>
      </w:pPr>
      <w:r>
        <w:rPr>
          <w:rFonts w:hint="eastAsia"/>
        </w:rPr>
        <w:t>2.1 规范性</w:t>
      </w:r>
    </w:p>
    <w:p w14:paraId="04606965" w14:textId="77777777" w:rsidR="0051782D" w:rsidRDefault="00000000">
      <w:pPr>
        <w:pStyle w:val="aff6"/>
      </w:pPr>
      <w:r>
        <w:rPr>
          <w:rFonts w:hint="eastAsia"/>
        </w:rPr>
        <w:t>编写遵循</w:t>
      </w:r>
      <w:r>
        <w:t>GB/T 1.1-2020</w:t>
      </w:r>
      <w:r>
        <w:rPr>
          <w:rFonts w:hint="eastAsia"/>
        </w:rPr>
        <w:t>和</w:t>
      </w:r>
      <w:r>
        <w:t>GB/T 1.2-2020</w:t>
      </w:r>
      <w:r>
        <w:rPr>
          <w:rFonts w:hint="eastAsia"/>
        </w:rPr>
        <w:t>等标准，确保标准的内容和结构符合规范要求。</w:t>
      </w:r>
    </w:p>
    <w:p w14:paraId="01B80570" w14:textId="77777777" w:rsidR="0051782D" w:rsidRDefault="00000000">
      <w:pPr>
        <w:pStyle w:val="af0"/>
        <w:numPr>
          <w:ilvl w:val="0"/>
          <w:numId w:val="0"/>
        </w:numPr>
        <w:spacing w:beforeLines="50" w:before="156" w:afterLines="50" w:after="156"/>
      </w:pPr>
      <w:r>
        <w:rPr>
          <w:rFonts w:hint="eastAsia"/>
        </w:rPr>
        <w:t>2.2 一致性</w:t>
      </w:r>
    </w:p>
    <w:p w14:paraId="0BB54094" w14:textId="77777777" w:rsidR="0051782D" w:rsidRDefault="00000000">
      <w:pPr>
        <w:pStyle w:val="aff6"/>
        <w:spacing w:before="78" w:after="78"/>
      </w:pPr>
      <w:r>
        <w:rPr>
          <w:rFonts w:hint="eastAsia"/>
        </w:rPr>
        <w:t>标准文本内部各部分之间要保持一致，使用相同的用语和术语，避免同义词的使用，确保标准的一致性。</w:t>
      </w:r>
    </w:p>
    <w:p w14:paraId="437B2BA9" w14:textId="77777777" w:rsidR="0051782D" w:rsidRDefault="00000000">
      <w:pPr>
        <w:pStyle w:val="af0"/>
        <w:numPr>
          <w:ilvl w:val="0"/>
          <w:numId w:val="0"/>
        </w:numPr>
        <w:spacing w:beforeLines="50" w:before="156" w:afterLines="50" w:after="156"/>
      </w:pPr>
      <w:r>
        <w:rPr>
          <w:rFonts w:hint="eastAsia"/>
        </w:rPr>
        <w:t xml:space="preserve">2.3 </w:t>
      </w:r>
      <w:r>
        <w:t>开放性</w:t>
      </w:r>
    </w:p>
    <w:p w14:paraId="6746BE36" w14:textId="77777777" w:rsidR="0051782D" w:rsidRDefault="00000000">
      <w:pPr>
        <w:pStyle w:val="aff6"/>
        <w:spacing w:before="78" w:after="78"/>
        <w:rPr>
          <w:rFonts w:eastAsia="等线"/>
        </w:rPr>
      </w:pPr>
      <w:r>
        <w:rPr>
          <w:rFonts w:hint="eastAsia"/>
        </w:rPr>
        <w:t>标准制定过程中要保证各相关方的有效参与，通过设立规则让各方充分讨论，解决技术内容分歧</w:t>
      </w:r>
      <w:r>
        <w:rPr>
          <w:rFonts w:ascii="等线" w:eastAsia="等线" w:hAnsi="等线" w:cs="MS Gothic" w:hint="eastAsia"/>
        </w:rPr>
        <w:t>。</w:t>
      </w:r>
    </w:p>
    <w:p w14:paraId="1FFC07A5" w14:textId="77777777" w:rsidR="0051782D" w:rsidRDefault="00000000">
      <w:pPr>
        <w:pStyle w:val="af0"/>
        <w:numPr>
          <w:ilvl w:val="0"/>
          <w:numId w:val="0"/>
        </w:numPr>
        <w:spacing w:beforeLines="50" w:before="156" w:afterLines="50" w:after="156"/>
      </w:pPr>
      <w:r>
        <w:t>‌</w:t>
      </w:r>
      <w:r>
        <w:rPr>
          <w:rFonts w:hint="eastAsia"/>
        </w:rPr>
        <w:t xml:space="preserve">2.4 </w:t>
      </w:r>
      <w:r>
        <w:t>公正性和协商一致</w:t>
      </w:r>
    </w:p>
    <w:p w14:paraId="22BDF93E" w14:textId="77777777" w:rsidR="0051782D" w:rsidRDefault="00000000">
      <w:pPr>
        <w:pStyle w:val="aff6"/>
        <w:spacing w:before="78" w:after="78"/>
      </w:pPr>
      <w:r>
        <w:rPr>
          <w:rFonts w:hint="eastAsia"/>
        </w:rPr>
        <w:t>参编单位</w:t>
      </w:r>
      <w:r>
        <w:t>通过协商一致的方式达成普遍同意</w:t>
      </w:r>
      <w:r>
        <w:rPr>
          <w:rFonts w:hint="eastAsia"/>
        </w:rPr>
        <w:t>。</w:t>
      </w:r>
    </w:p>
    <w:p w14:paraId="6D0F911E" w14:textId="77777777" w:rsidR="0051782D" w:rsidRDefault="00000000">
      <w:pPr>
        <w:pStyle w:val="af0"/>
        <w:numPr>
          <w:ilvl w:val="0"/>
          <w:numId w:val="0"/>
        </w:numPr>
        <w:spacing w:beforeLines="50" w:before="156" w:afterLines="50" w:after="156"/>
      </w:pPr>
      <w:r>
        <w:rPr>
          <w:rFonts w:hint="eastAsia"/>
        </w:rPr>
        <w:t>2.5 协调性</w:t>
      </w:r>
    </w:p>
    <w:p w14:paraId="093F24B0" w14:textId="77777777" w:rsidR="0051782D" w:rsidRDefault="00000000">
      <w:pPr>
        <w:pStyle w:val="aff6"/>
        <w:spacing w:before="78" w:after="78"/>
      </w:pPr>
      <w:r>
        <w:rPr>
          <w:rFonts w:hAnsi="宋体" w:cs="宋体" w:hint="eastAsia"/>
        </w:rPr>
        <w:t>标准与现行有效的文件相互协调，避免重复和不必要的差异，遵守基础标准和通用标准的规定</w:t>
      </w:r>
      <w:r>
        <w:rPr>
          <w:rFonts w:ascii="等线" w:eastAsia="等线" w:hAnsi="等线" w:cs="MS Gothic" w:hint="eastAsia"/>
        </w:rPr>
        <w:t>。</w:t>
      </w:r>
    </w:p>
    <w:p w14:paraId="566F1FEB" w14:textId="77777777" w:rsidR="0051782D" w:rsidRDefault="00000000">
      <w:pPr>
        <w:pStyle w:val="11"/>
        <w:spacing w:before="312" w:after="312"/>
        <w:rPr>
          <w:rFonts w:ascii="宋体" w:hAnsi="宋体" w:hint="eastAsia"/>
          <w:szCs w:val="21"/>
        </w:rPr>
      </w:pPr>
      <w:bookmarkStart w:id="489" w:name="_Toc21642"/>
      <w:r>
        <w:rPr>
          <w:rFonts w:ascii="黑体" w:hint="eastAsia"/>
          <w:kern w:val="0"/>
          <w:szCs w:val="20"/>
        </w:rPr>
        <w:lastRenderedPageBreak/>
        <w:t>3 主要</w:t>
      </w:r>
      <w:r>
        <w:rPr>
          <w:rFonts w:ascii="宋体" w:hAnsi="宋体" w:hint="eastAsia"/>
          <w:szCs w:val="21"/>
        </w:rPr>
        <w:t>工作过程</w:t>
      </w:r>
      <w:bookmarkEnd w:id="489"/>
    </w:p>
    <w:p w14:paraId="00286C1E" w14:textId="77777777" w:rsidR="0051782D" w:rsidRDefault="00000000">
      <w:pPr>
        <w:ind w:firstLineChars="200" w:firstLine="420"/>
        <w:rPr>
          <w:rFonts w:ascii="宋体"/>
          <w:kern w:val="0"/>
        </w:rPr>
      </w:pPr>
      <w:r>
        <w:rPr>
          <w:rFonts w:ascii="宋体" w:hint="eastAsia"/>
          <w:kern w:val="0"/>
        </w:rPr>
        <w:t>2024年12月31日，按照《中国电机工程学会关于印发“中国电机工程学会 2024 年标准计划（第二批）”的通知》（电机咨〔2024〕55号文）要求，启动编制工作。</w:t>
      </w:r>
    </w:p>
    <w:p w14:paraId="29C86409" w14:textId="77777777" w:rsidR="0051782D" w:rsidRDefault="00000000">
      <w:pPr>
        <w:ind w:firstLineChars="200" w:firstLine="420"/>
        <w:rPr>
          <w:rFonts w:ascii="宋体"/>
          <w:kern w:val="0"/>
        </w:rPr>
      </w:pPr>
      <w:r>
        <w:rPr>
          <w:rFonts w:ascii="宋体" w:hint="eastAsia"/>
          <w:kern w:val="0"/>
        </w:rPr>
        <w:t>2025年1月21日，成立标准技术工作组，结合立项评审专家建议，梳理研究光储充检一体化充电站接入配电网相关技术标准，制定标准编制大纲。</w:t>
      </w:r>
    </w:p>
    <w:p w14:paraId="07B27C66" w14:textId="77777777" w:rsidR="0051782D" w:rsidRDefault="00000000">
      <w:pPr>
        <w:ind w:firstLineChars="200" w:firstLine="420"/>
        <w:rPr>
          <w:rFonts w:ascii="宋体"/>
          <w:kern w:val="0"/>
        </w:rPr>
      </w:pPr>
      <w:r>
        <w:rPr>
          <w:rFonts w:ascii="宋体" w:hint="eastAsia"/>
          <w:kern w:val="0"/>
        </w:rPr>
        <w:t>2025年5月，完成标准初稿编制，召开初稿审查会。</w:t>
      </w:r>
    </w:p>
    <w:p w14:paraId="655B0FB9" w14:textId="77777777" w:rsidR="0051782D" w:rsidRDefault="00000000">
      <w:pPr>
        <w:ind w:firstLineChars="200" w:firstLine="420"/>
        <w:rPr>
          <w:rFonts w:ascii="宋体"/>
          <w:kern w:val="0"/>
        </w:rPr>
      </w:pPr>
      <w:r>
        <w:rPr>
          <w:rFonts w:ascii="宋体" w:hint="eastAsia"/>
          <w:kern w:val="0"/>
        </w:rPr>
        <w:t>2025年12月，开展多次集中工作与交叉修编，修改完善标准内容。</w:t>
      </w:r>
    </w:p>
    <w:p w14:paraId="71770EA9" w14:textId="77777777" w:rsidR="0051782D" w:rsidRDefault="00000000">
      <w:pPr>
        <w:ind w:firstLineChars="200" w:firstLine="420"/>
        <w:rPr>
          <w:rFonts w:ascii="宋体"/>
          <w:kern w:val="0"/>
        </w:rPr>
      </w:pPr>
      <w:r>
        <w:rPr>
          <w:rFonts w:ascii="宋体" w:hint="eastAsia"/>
          <w:kern w:val="0"/>
        </w:rPr>
        <w:t>2026年2月，完成内部审查，并按照审查意见修改，形成标准征求意见稿初稿。</w:t>
      </w:r>
    </w:p>
    <w:p w14:paraId="7F7A5D28" w14:textId="77777777" w:rsidR="0051782D" w:rsidRDefault="00000000">
      <w:pPr>
        <w:ind w:firstLineChars="200" w:firstLine="420"/>
        <w:rPr>
          <w:color w:val="FF0000"/>
        </w:rPr>
      </w:pPr>
      <w:r>
        <w:rPr>
          <w:rFonts w:ascii="宋体" w:hint="eastAsia"/>
          <w:kern w:val="0"/>
        </w:rPr>
        <w:t>2026年5月，经过编制小组和外部相关专家的反复论证和修改，向中国电机工程学会提交了标准征求意见稿，并向相关单位广泛征求意见。</w:t>
      </w:r>
    </w:p>
    <w:p w14:paraId="1454B9CD" w14:textId="77777777" w:rsidR="0051782D" w:rsidRDefault="00000000">
      <w:pPr>
        <w:pStyle w:val="11"/>
        <w:spacing w:before="312" w:after="312"/>
        <w:rPr>
          <w:rFonts w:ascii="宋体" w:hAnsi="宋体" w:hint="eastAsia"/>
          <w:szCs w:val="21"/>
        </w:rPr>
      </w:pPr>
      <w:bookmarkStart w:id="490" w:name="_Toc25146"/>
      <w:r>
        <w:rPr>
          <w:rFonts w:ascii="黑体" w:hint="eastAsia"/>
          <w:kern w:val="0"/>
          <w:szCs w:val="20"/>
        </w:rPr>
        <w:t>4 标准结</w:t>
      </w:r>
      <w:r>
        <w:rPr>
          <w:rFonts w:ascii="宋体" w:hAnsi="宋体" w:hint="eastAsia"/>
          <w:szCs w:val="21"/>
        </w:rPr>
        <w:t>构和内容说明</w:t>
      </w:r>
      <w:bookmarkEnd w:id="490"/>
    </w:p>
    <w:p w14:paraId="1168A11A" w14:textId="77777777" w:rsidR="0051782D" w:rsidRDefault="00000000">
      <w:pPr>
        <w:pStyle w:val="aff6"/>
      </w:pPr>
      <w:r>
        <w:t>本标准规定了光储充检一体化充电站接入配电网的基本原则和技术要求。</w:t>
      </w:r>
    </w:p>
    <w:p w14:paraId="75F91BB0" w14:textId="77777777" w:rsidR="0051782D" w:rsidRDefault="00000000">
      <w:pPr>
        <w:pStyle w:val="aff6"/>
      </w:pPr>
      <w:r>
        <w:t>本标准适用于接入10kV及以下电压等级的光储充检一体化充电站，光储充（换）、光储充放、储充（换）等其他类型充电站可参照执行。</w:t>
      </w:r>
    </w:p>
    <w:p w14:paraId="70A82672" w14:textId="77777777" w:rsidR="0051782D" w:rsidRDefault="00000000">
      <w:pPr>
        <w:pStyle w:val="aff6"/>
      </w:pPr>
      <w:r>
        <w:rPr>
          <w:rFonts w:hint="eastAsia"/>
        </w:rPr>
        <w:t>文件的主要结构和内容如下：</w:t>
      </w:r>
    </w:p>
    <w:p w14:paraId="7DD7D8D3" w14:textId="77777777" w:rsidR="0051782D" w:rsidRDefault="00000000">
      <w:pPr>
        <w:pStyle w:val="Style134"/>
        <w:ind w:firstLineChars="0"/>
        <w:rPr>
          <w:rFonts w:ascii="Times New Roman" w:hAnsi="Times New Roman"/>
        </w:rPr>
      </w:pPr>
      <w:r>
        <w:rPr>
          <w:rFonts w:ascii="Times New Roman" w:hAnsi="Times New Roman" w:hint="eastAsia"/>
        </w:rPr>
        <w:t>1</w:t>
      </w:r>
      <w:r>
        <w:rPr>
          <w:rFonts w:ascii="Times New Roman" w:hAnsi="Times New Roman" w:hint="eastAsia"/>
        </w:rPr>
        <w:t>）范围</w:t>
      </w:r>
      <w:bookmarkStart w:id="491" w:name="pindex806"/>
      <w:bookmarkEnd w:id="491"/>
    </w:p>
    <w:p w14:paraId="5CA608C4" w14:textId="77777777" w:rsidR="0051782D" w:rsidRDefault="00000000">
      <w:pPr>
        <w:pStyle w:val="Style134"/>
        <w:ind w:firstLineChars="0"/>
        <w:rPr>
          <w:rFonts w:ascii="Times New Roman" w:hAnsi="Times New Roman"/>
        </w:rPr>
      </w:pPr>
      <w:r>
        <w:rPr>
          <w:rFonts w:ascii="Times New Roman" w:hAnsi="Times New Roman" w:hint="eastAsia"/>
        </w:rPr>
        <w:t>2</w:t>
      </w:r>
      <w:r>
        <w:rPr>
          <w:rFonts w:ascii="Times New Roman" w:hAnsi="Times New Roman" w:hint="eastAsia"/>
        </w:rPr>
        <w:t>）规范性引用文件</w:t>
      </w:r>
      <w:bookmarkStart w:id="492" w:name="pindex807"/>
      <w:bookmarkEnd w:id="492"/>
    </w:p>
    <w:p w14:paraId="68AB399E" w14:textId="77777777" w:rsidR="0051782D" w:rsidRDefault="00000000">
      <w:pPr>
        <w:pStyle w:val="Style134"/>
        <w:ind w:firstLineChars="0"/>
        <w:rPr>
          <w:rFonts w:ascii="Times New Roman" w:hAnsi="Times New Roman"/>
        </w:rPr>
      </w:pPr>
      <w:r>
        <w:rPr>
          <w:rFonts w:ascii="Times New Roman" w:hAnsi="Times New Roman" w:hint="eastAsia"/>
        </w:rPr>
        <w:t>3</w:t>
      </w:r>
      <w:r>
        <w:rPr>
          <w:rFonts w:ascii="Times New Roman" w:hAnsi="Times New Roman" w:hint="eastAsia"/>
        </w:rPr>
        <w:t>）术语和定义</w:t>
      </w:r>
      <w:bookmarkStart w:id="493" w:name="pindex808"/>
      <w:bookmarkEnd w:id="493"/>
    </w:p>
    <w:p w14:paraId="0BCE4A41" w14:textId="77777777" w:rsidR="0051782D" w:rsidRDefault="00000000">
      <w:pPr>
        <w:pStyle w:val="Style134"/>
        <w:ind w:firstLineChars="0"/>
        <w:rPr>
          <w:rFonts w:ascii="Times New Roman" w:hAnsi="Times New Roman"/>
        </w:rPr>
      </w:pPr>
      <w:r>
        <w:rPr>
          <w:rFonts w:ascii="Times New Roman" w:hAnsi="Times New Roman" w:hint="eastAsia"/>
        </w:rPr>
        <w:t>4</w:t>
      </w:r>
      <w:r>
        <w:rPr>
          <w:rFonts w:ascii="Times New Roman" w:hAnsi="Times New Roman" w:hint="eastAsia"/>
        </w:rPr>
        <w:t>）</w:t>
      </w:r>
      <w:bookmarkStart w:id="494" w:name="pindex809"/>
      <w:bookmarkEnd w:id="494"/>
      <w:r>
        <w:rPr>
          <w:rFonts w:ascii="Times New Roman" w:hAnsi="Times New Roman" w:hint="eastAsia"/>
        </w:rPr>
        <w:t>总则</w:t>
      </w:r>
    </w:p>
    <w:p w14:paraId="040349A7" w14:textId="77777777" w:rsidR="0051782D" w:rsidRDefault="00000000">
      <w:pPr>
        <w:pStyle w:val="Style134"/>
        <w:ind w:firstLineChars="0"/>
        <w:rPr>
          <w:rFonts w:ascii="Times New Roman" w:hAnsi="Times New Roman"/>
        </w:rPr>
      </w:pPr>
      <w:r>
        <w:rPr>
          <w:rFonts w:ascii="Times New Roman" w:hAnsi="Times New Roman" w:hint="eastAsia"/>
        </w:rPr>
        <w:t>5</w:t>
      </w:r>
      <w:r>
        <w:rPr>
          <w:rFonts w:ascii="Times New Roman" w:hAnsi="Times New Roman" w:hint="eastAsia"/>
        </w:rPr>
        <w:t>）</w:t>
      </w:r>
      <w:bookmarkStart w:id="495" w:name="pindex810"/>
      <w:bookmarkEnd w:id="495"/>
      <w:r>
        <w:rPr>
          <w:rFonts w:ascii="Times New Roman" w:hAnsi="Times New Roman" w:hint="eastAsia"/>
        </w:rPr>
        <w:t>接入配电网一次系统要求</w:t>
      </w:r>
    </w:p>
    <w:p w14:paraId="0D2D3B53" w14:textId="77777777" w:rsidR="0051782D" w:rsidRDefault="00000000">
      <w:pPr>
        <w:pStyle w:val="Style134"/>
        <w:ind w:firstLineChars="0"/>
        <w:rPr>
          <w:rFonts w:ascii="Times New Roman" w:hAnsi="Times New Roman"/>
        </w:rPr>
      </w:pPr>
      <w:r>
        <w:rPr>
          <w:rFonts w:ascii="Times New Roman" w:hAnsi="Times New Roman" w:hint="eastAsia"/>
        </w:rPr>
        <w:t>6</w:t>
      </w:r>
      <w:r>
        <w:rPr>
          <w:rFonts w:ascii="Times New Roman" w:hAnsi="Times New Roman" w:hint="eastAsia"/>
        </w:rPr>
        <w:t>）</w:t>
      </w:r>
      <w:bookmarkStart w:id="496" w:name="pindex811"/>
      <w:bookmarkEnd w:id="496"/>
      <w:r>
        <w:rPr>
          <w:rFonts w:ascii="Times New Roman" w:hAnsi="Times New Roman" w:hint="eastAsia"/>
        </w:rPr>
        <w:t>接入配电网二次系统要求</w:t>
      </w:r>
    </w:p>
    <w:p w14:paraId="1B49A6B6" w14:textId="77777777" w:rsidR="0051782D" w:rsidRDefault="00000000">
      <w:pPr>
        <w:pStyle w:val="Style134"/>
        <w:ind w:firstLineChars="0"/>
        <w:rPr>
          <w:rFonts w:ascii="Times New Roman" w:hAnsi="Times New Roman"/>
        </w:rPr>
      </w:pPr>
      <w:r>
        <w:rPr>
          <w:rFonts w:ascii="Times New Roman" w:hAnsi="Times New Roman" w:hint="eastAsia"/>
        </w:rPr>
        <w:t>7</w:t>
      </w:r>
      <w:r>
        <w:rPr>
          <w:rFonts w:ascii="Times New Roman" w:hAnsi="Times New Roman" w:hint="eastAsia"/>
        </w:rPr>
        <w:t>）电能质量</w:t>
      </w:r>
    </w:p>
    <w:p w14:paraId="738D597F" w14:textId="77777777" w:rsidR="0051782D" w:rsidRDefault="00000000">
      <w:pPr>
        <w:pStyle w:val="Style134"/>
        <w:ind w:firstLineChars="0"/>
        <w:rPr>
          <w:rFonts w:ascii="Times New Roman" w:hAnsi="Times New Roman"/>
        </w:rPr>
      </w:pPr>
      <w:r>
        <w:rPr>
          <w:rFonts w:ascii="Times New Roman" w:hAnsi="Times New Roman" w:hint="eastAsia"/>
        </w:rPr>
        <w:t>8</w:t>
      </w:r>
      <w:r>
        <w:rPr>
          <w:rFonts w:ascii="Times New Roman" w:hAnsi="Times New Roman" w:hint="eastAsia"/>
        </w:rPr>
        <w:t>）调节控制</w:t>
      </w:r>
    </w:p>
    <w:p w14:paraId="10AF64FC" w14:textId="77777777" w:rsidR="0051782D" w:rsidRDefault="00000000">
      <w:pPr>
        <w:pStyle w:val="Style134"/>
        <w:ind w:firstLineChars="0"/>
        <w:rPr>
          <w:rFonts w:ascii="Times New Roman" w:hAnsi="Times New Roman"/>
        </w:rPr>
      </w:pPr>
      <w:r>
        <w:rPr>
          <w:rFonts w:ascii="Times New Roman" w:hAnsi="Times New Roman" w:hint="eastAsia"/>
        </w:rPr>
        <w:t>9</w:t>
      </w:r>
      <w:r>
        <w:rPr>
          <w:rFonts w:ascii="Times New Roman" w:hAnsi="Times New Roman" w:hint="eastAsia"/>
        </w:rPr>
        <w:t>）新技术应用</w:t>
      </w:r>
    </w:p>
    <w:p w14:paraId="33C1D729" w14:textId="77777777" w:rsidR="0051782D" w:rsidRDefault="00000000">
      <w:pPr>
        <w:pStyle w:val="11"/>
        <w:spacing w:before="312" w:after="312"/>
      </w:pPr>
      <w:bookmarkStart w:id="497" w:name="_Toc13751"/>
      <w:r>
        <w:rPr>
          <w:rFonts w:ascii="黑体" w:hint="eastAsia"/>
          <w:kern w:val="0"/>
          <w:szCs w:val="20"/>
        </w:rPr>
        <w:lastRenderedPageBreak/>
        <w:t>5相关</w:t>
      </w:r>
      <w:r>
        <w:rPr>
          <w:rFonts w:hint="eastAsia"/>
        </w:rPr>
        <w:t>标准对比说明</w:t>
      </w:r>
      <w:bookmarkEnd w:id="497"/>
    </w:p>
    <w:p w14:paraId="2E6821E7" w14:textId="77777777" w:rsidR="0051782D" w:rsidRDefault="00000000">
      <w:pPr>
        <w:pStyle w:val="aff6"/>
      </w:pPr>
      <w:r>
        <w:rPr>
          <w:rFonts w:hint="eastAsia"/>
        </w:rPr>
        <w:t>《GB/T 36278 电动汽车充换电设施接入配电网技术规范》标准规定了电动汽车充换电设施接入配电网的原则、设备选择、无功补充、保护和计量、电能质量。</w:t>
      </w:r>
    </w:p>
    <w:p w14:paraId="6BE964DF" w14:textId="77777777" w:rsidR="0051782D" w:rsidRDefault="00000000">
      <w:pPr>
        <w:pStyle w:val="aff6"/>
      </w:pPr>
      <w:r>
        <w:t>本</w:t>
      </w:r>
      <w:r>
        <w:rPr>
          <w:rFonts w:hint="eastAsia"/>
        </w:rPr>
        <w:t>标准</w:t>
      </w:r>
      <w:r>
        <w:t>规定了光储充检一体化充电站接入配电网的基本原则和技术要求。</w:t>
      </w:r>
    </w:p>
    <w:p w14:paraId="73CFA390" w14:textId="77777777" w:rsidR="0051782D" w:rsidRDefault="00000000">
      <w:pPr>
        <w:pStyle w:val="aff6"/>
      </w:pPr>
      <w:r>
        <w:rPr>
          <w:rFonts w:hint="eastAsia"/>
        </w:rPr>
        <w:t>相比与GB/T 36278 标准文件，本标准聚焦</w:t>
      </w:r>
      <w:r>
        <w:t>光储充检一体化充电站</w:t>
      </w:r>
      <w:r>
        <w:rPr>
          <w:rFonts w:hint="eastAsia"/>
        </w:rPr>
        <w:t>，</w:t>
      </w:r>
      <w:r>
        <w:rPr>
          <w:rFonts w:ascii="Calibri" w:hAnsi="Calibri" w:hint="eastAsia"/>
          <w:szCs w:val="21"/>
        </w:rPr>
        <w:t>规范了光储充检一体化充电站接入配电网的一次系统、二次系统、电能质量、调节控制与新技术应用的各项技术细则</w:t>
      </w:r>
      <w:r>
        <w:rPr>
          <w:rFonts w:hint="eastAsia"/>
        </w:rPr>
        <w:t>。</w:t>
      </w:r>
    </w:p>
    <w:p w14:paraId="7FC2C285" w14:textId="77777777" w:rsidR="0051782D" w:rsidRDefault="00000000">
      <w:pPr>
        <w:pStyle w:val="11"/>
        <w:spacing w:before="312" w:after="312"/>
        <w:rPr>
          <w:rFonts w:ascii="宋体" w:hAnsi="宋体" w:hint="eastAsia"/>
          <w:szCs w:val="21"/>
        </w:rPr>
      </w:pPr>
      <w:bookmarkStart w:id="498" w:name="_Toc15428"/>
      <w:r>
        <w:rPr>
          <w:rFonts w:ascii="黑体" w:hint="eastAsia"/>
          <w:kern w:val="0"/>
          <w:szCs w:val="20"/>
        </w:rPr>
        <w:t>6标准实</w:t>
      </w:r>
      <w:r>
        <w:rPr>
          <w:rFonts w:ascii="宋体" w:hAnsi="宋体" w:hint="eastAsia"/>
          <w:szCs w:val="21"/>
        </w:rPr>
        <w:t>施措施说明</w:t>
      </w:r>
      <w:bookmarkEnd w:id="498"/>
    </w:p>
    <w:p w14:paraId="6DAD6837" w14:textId="77777777" w:rsidR="0051782D" w:rsidRDefault="00000000">
      <w:pPr>
        <w:rPr>
          <w:rFonts w:ascii="黑体" w:eastAsia="黑体" w:hAnsi="黑体" w:cs="黑体" w:hint="eastAsia"/>
        </w:rPr>
      </w:pPr>
      <w:r>
        <w:rPr>
          <w:rFonts w:ascii="黑体" w:eastAsia="黑体" w:hAnsi="黑体" w:cs="黑体" w:hint="eastAsia"/>
        </w:rPr>
        <w:t>6.1 电网企业</w:t>
      </w:r>
    </w:p>
    <w:p w14:paraId="30840895" w14:textId="77777777" w:rsidR="0051782D" w:rsidRDefault="00000000">
      <w:pPr>
        <w:pStyle w:val="aff6"/>
      </w:pPr>
      <w:r>
        <w:rPr>
          <w:rFonts w:hint="eastAsia"/>
        </w:rPr>
        <w:t>电网企业</w:t>
      </w:r>
      <w:r>
        <w:rPr>
          <w:rFonts w:hint="eastAsia"/>
          <w:lang w:eastAsia="zh"/>
        </w:rPr>
        <w:t>可</w:t>
      </w:r>
      <w:r>
        <w:rPr>
          <w:rFonts w:hint="eastAsia"/>
        </w:rPr>
        <w:t>通过电动汽车充换电设施接入配电网技术规范，为</w:t>
      </w:r>
      <w:r>
        <w:rPr>
          <w:rFonts w:hint="eastAsia"/>
          <w:lang w:eastAsia="zh"/>
        </w:rPr>
        <w:t>光储充检一体化充电站等新型充电站的接入审核、配套电网建设、参与调节响应</w:t>
      </w:r>
      <w:r>
        <w:rPr>
          <w:rFonts w:hint="eastAsia"/>
        </w:rPr>
        <w:t>等业务提供技术支撑，也为政府部门出台相应的规范政策提供决策依据。</w:t>
      </w:r>
    </w:p>
    <w:p w14:paraId="544A06AF" w14:textId="77777777" w:rsidR="0051782D" w:rsidRDefault="00000000">
      <w:pPr>
        <w:rPr>
          <w:rFonts w:ascii="黑体" w:eastAsia="黑体" w:hAnsi="黑体" w:cs="黑体" w:hint="eastAsia"/>
        </w:rPr>
      </w:pPr>
      <w:r>
        <w:rPr>
          <w:rFonts w:ascii="黑体" w:eastAsia="黑体" w:hAnsi="黑体" w:cs="黑体" w:hint="eastAsia"/>
        </w:rPr>
        <w:t>6.2 充电站运营商公司、负荷聚合商公司</w:t>
      </w:r>
    </w:p>
    <w:p w14:paraId="36EF3726" w14:textId="77777777" w:rsidR="0051782D" w:rsidRDefault="00000000">
      <w:pPr>
        <w:pStyle w:val="aff6"/>
        <w:rPr>
          <w:lang w:eastAsia="zh"/>
        </w:rPr>
      </w:pPr>
      <w:r>
        <w:rPr>
          <w:rFonts w:hint="eastAsia"/>
        </w:rPr>
        <w:t>充电站运营商公司、负荷聚合商公司</w:t>
      </w:r>
      <w:r>
        <w:rPr>
          <w:rFonts w:hint="eastAsia"/>
          <w:lang w:eastAsia="zh"/>
        </w:rPr>
        <w:t>可</w:t>
      </w:r>
      <w:r>
        <w:rPr>
          <w:rFonts w:hint="eastAsia"/>
        </w:rPr>
        <w:t>通过电动汽车充换电设施接入配电网技术规范，优化光储充检一体化充电站等新型充电站的能量管理运营、响应调节产品等，加强服务规范化、多元化</w:t>
      </w:r>
      <w:r>
        <w:rPr>
          <w:rFonts w:hint="eastAsia"/>
          <w:lang w:eastAsia="zh"/>
        </w:rPr>
        <w:t>。</w:t>
      </w:r>
    </w:p>
    <w:p w14:paraId="122382E7" w14:textId="77777777" w:rsidR="0051782D" w:rsidRDefault="00000000">
      <w:pPr>
        <w:rPr>
          <w:rFonts w:ascii="黑体" w:eastAsia="黑体" w:hAnsi="黑体" w:cs="黑体" w:hint="eastAsia"/>
        </w:rPr>
      </w:pPr>
      <w:r>
        <w:rPr>
          <w:rFonts w:ascii="黑体" w:eastAsia="黑体" w:hAnsi="黑体" w:cs="黑体" w:hint="eastAsia"/>
        </w:rPr>
        <w:t>6.3 高校等科研机构</w:t>
      </w:r>
    </w:p>
    <w:p w14:paraId="77618014" w14:textId="77777777" w:rsidR="0051782D" w:rsidRDefault="00000000">
      <w:pPr>
        <w:pStyle w:val="aff6"/>
        <w:rPr>
          <w:rFonts w:hAnsi="黑体" w:hint="eastAsia"/>
          <w:sz w:val="28"/>
        </w:rPr>
      </w:pPr>
      <w:r>
        <w:rPr>
          <w:rFonts w:hint="eastAsia"/>
          <w:lang w:eastAsia="zh"/>
        </w:rPr>
        <w:t>高校等科研机构可通过</w:t>
      </w:r>
      <w:r>
        <w:rPr>
          <w:rFonts w:hint="eastAsia"/>
        </w:rPr>
        <w:t>电动汽车充换电设施接入配电网技术规范，拓展光储充检一体化充电站等新型充电站模拟仿真、影响分析等学术研究</w:t>
      </w:r>
      <w:r>
        <w:rPr>
          <w:rFonts w:hAnsi="宋体" w:hint="eastAsia"/>
        </w:rPr>
        <w:t>。</w:t>
      </w:r>
    </w:p>
    <w:p w14:paraId="727B66E4" w14:textId="77777777" w:rsidR="0051782D" w:rsidRDefault="00000000">
      <w:pPr>
        <w:widowControl/>
        <w:jc w:val="center"/>
        <w:rPr>
          <w:szCs w:val="21"/>
        </w:rPr>
      </w:pPr>
      <w:r>
        <w:rPr>
          <w:rFonts w:ascii="黑体" w:eastAsia="黑体" w:hAnsi="黑体" w:hint="eastAsia"/>
          <w:b/>
        </w:rPr>
        <w:t>━━━━━━━━━</w:t>
      </w:r>
    </w:p>
    <w:sectPr w:rsidR="0051782D">
      <w:pgSz w:w="11906" w:h="16838"/>
      <w:pgMar w:top="567" w:right="1134" w:bottom="1134" w:left="1417" w:header="1418" w:footer="1134"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C5E3" w14:textId="77777777" w:rsidR="00B64C9C" w:rsidRDefault="00B64C9C">
      <w:pPr>
        <w:spacing w:after="0" w:line="240" w:lineRule="auto"/>
      </w:pPr>
      <w:r>
        <w:separator/>
      </w:r>
    </w:p>
  </w:endnote>
  <w:endnote w:type="continuationSeparator" w:id="0">
    <w:p w14:paraId="4280AC9A" w14:textId="77777777" w:rsidR="00B64C9C" w:rsidRDefault="00B6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7FED" w14:textId="77777777" w:rsidR="0051782D" w:rsidRDefault="00000000">
    <w:pPr>
      <w:pStyle w:val="afff5"/>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6A3" w14:textId="77777777" w:rsidR="0051782D" w:rsidRDefault="00000000">
    <w:pPr>
      <w:pStyle w:val="affd"/>
    </w:pPr>
    <w:r>
      <w:rPr>
        <w:kern w:val="2"/>
      </w:rPr>
      <w:fldChar w:fldCharType="begin"/>
    </w:r>
    <w:r>
      <w:rPr>
        <w:rStyle w:val="aff3"/>
        <w:kern w:val="2"/>
      </w:rPr>
      <w:instrText xml:space="preserve"> PAGE </w:instrText>
    </w:r>
    <w:r>
      <w:rPr>
        <w:kern w:val="2"/>
      </w:rPr>
      <w:fldChar w:fldCharType="separate"/>
    </w:r>
    <w:r>
      <w:rPr>
        <w:rStyle w:val="aff3"/>
        <w:kern w:val="2"/>
      </w:rPr>
      <w:t>10</w:t>
    </w:r>
    <w:r>
      <w:rPr>
        <w:kern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F4E" w14:textId="77777777" w:rsidR="0051782D" w:rsidRDefault="00000000">
    <w:pPr>
      <w:pStyle w:val="afe"/>
      <w:jc w:val="right"/>
    </w:pPr>
    <w:r>
      <w:rPr>
        <w:noProof/>
      </w:rPr>
      <mc:AlternateContent>
        <mc:Choice Requires="wps">
          <w:drawing>
            <wp:anchor distT="0" distB="0" distL="114300" distR="114300" simplePos="0" relativeHeight="251659264" behindDoc="0" locked="0" layoutInCell="1" allowOverlap="1" wp14:anchorId="08708C02" wp14:editId="60B7E38B">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A13BE4" w14:textId="77777777" w:rsidR="0051782D" w:rsidRDefault="00000000">
                          <w:pPr>
                            <w:pStyle w:val="afe"/>
                            <w:jc w:val="right"/>
                          </w:pPr>
                          <w:r>
                            <w:fldChar w:fldCharType="begin"/>
                          </w:r>
                          <w:r>
                            <w:instrText>PAGE   \* MERGEFORMAT</w:instrText>
                          </w:r>
                          <w:r>
                            <w:fldChar w:fldCharType="separate"/>
                          </w:r>
                          <w:r>
                            <w:rPr>
                              <w:lang w:val="zh-CN"/>
                            </w:rPr>
                            <w:t>2</w:t>
                          </w:r>
                          <w:r>
                            <w:fldChar w:fldCharType="end"/>
                          </w:r>
                        </w:p>
                      </w:txbxContent>
                    </wps:txbx>
                    <wps:bodyPr vert="horz" wrap="none" lIns="0" tIns="0" rIns="0" bIns="0" anchor="t" anchorCtr="0">
                      <a:spAutoFit/>
                    </wps:bodyPr>
                  </wps:wsp>
                </a:graphicData>
              </a:graphic>
            </wp:anchor>
          </w:drawing>
        </mc:Choice>
        <mc:Fallback>
          <w:pict>
            <v:shapetype w14:anchorId="08708C02"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" filled="f" stroked="f" strokeweight="1.25pt">
              <v:textbox style="mso-fit-shape-to-text:t" inset="0,0,0,0">
                <w:txbxContent>
                  <w:p w14:paraId="09A13BE4" w14:textId="77777777" w:rsidR="0051782D" w:rsidRDefault="00000000">
                    <w:pPr>
                      <w:pStyle w:val="afe"/>
                      <w:jc w:val="right"/>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p w14:paraId="67A5FB69" w14:textId="77777777" w:rsidR="0051782D" w:rsidRDefault="0051782D">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9ED5" w14:textId="77777777" w:rsidR="00B64C9C" w:rsidRDefault="00B64C9C">
      <w:pPr>
        <w:spacing w:after="0" w:line="240" w:lineRule="auto"/>
      </w:pPr>
      <w:r>
        <w:separator/>
      </w:r>
    </w:p>
  </w:footnote>
  <w:footnote w:type="continuationSeparator" w:id="0">
    <w:p w14:paraId="43484807" w14:textId="77777777" w:rsidR="00B64C9C" w:rsidRDefault="00B6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076" w14:textId="77777777" w:rsidR="0051782D" w:rsidRDefault="00000000">
    <w:pPr>
      <w:pStyle w:val="affff2"/>
    </w:pPr>
    <w:r>
      <w:t xml:space="preserve">Q/GDW </w:t>
    </w:r>
    <w:r>
      <w:rPr>
        <w:rFonts w:hint="eastAsia"/>
      </w:rPr>
      <w:t>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9BDB" w14:textId="77777777" w:rsidR="0051782D" w:rsidRDefault="00000000">
    <w:pPr>
      <w:pStyle w:val="afffd"/>
      <w:jc w:val="both"/>
    </w:pPr>
    <w:r>
      <w:t>Q/</w:t>
    </w:r>
    <w:r>
      <w:rPr>
        <w:rFonts w:hint="eastAsia"/>
      </w:rPr>
      <w:t>GDW</w:t>
    </w:r>
    <w:r>
      <w:rPr>
        <w:rFonts w:hAnsi="黑体" w:hint="eastAsia"/>
      </w:rPr>
      <w:t>05 XXX</w:t>
    </w:r>
    <w:r>
      <w:rPr>
        <w:rFonts w:hAnsi="黑体"/>
      </w:rPr>
      <w:t>—</w:t>
    </w:r>
    <w:r>
      <w:rPr>
        <w:rFonts w:hAnsi="黑体" w:hint="eastAsia"/>
      </w:rPr>
      <w:t>2012-1XXXX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46DA" w14:textId="77777777" w:rsidR="0051782D" w:rsidRDefault="00000000">
    <w:pPr>
      <w:pStyle w:val="afffd"/>
      <w:wordWrap w:val="0"/>
    </w:pPr>
    <w:r>
      <w:rPr>
        <w:rFonts w:hint="eastAsia"/>
      </w:rPr>
      <w:t>T</w:t>
    </w:r>
    <w:r>
      <w:t>/</w:t>
    </w:r>
    <w:r>
      <w:rPr>
        <w:rFonts w:hint="eastAsia"/>
      </w:rPr>
      <w:t>CSEE</w:t>
    </w:r>
    <w:r>
      <w:rPr>
        <w:rFonts w:hAnsi="黑体" w:hint="eastAsia"/>
      </w:rPr>
      <w:t xml:space="preserve"> XXXX-YYYY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E255" w14:textId="77777777" w:rsidR="0051782D" w:rsidRDefault="00000000">
    <w:pPr>
      <w:pStyle w:val="afffd"/>
      <w:wordWrap w:val="0"/>
    </w:pPr>
    <w:r>
      <w:rPr>
        <w:rFonts w:hint="eastAsia"/>
      </w:rPr>
      <w:t>T</w:t>
    </w:r>
    <w:r>
      <w:t>/</w:t>
    </w:r>
    <w:r>
      <w:rPr>
        <w:rFonts w:hint="eastAsia"/>
      </w:rPr>
      <w:t xml:space="preserve">CSEE </w:t>
    </w:r>
    <w:r>
      <w:rPr>
        <w:rFonts w:hAnsi="黑体" w:hint="eastAsia"/>
      </w:rPr>
      <w:t xml:space="preserve"> XXXX-YYYY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DDE2B46"/>
    <w:multiLevelType w:val="multilevel"/>
    <w:tmpl w:val="0DDE2B46"/>
    <w:lvl w:ilvl="0">
      <w:start w:val="1"/>
      <w:numFmt w:val="lowerLetter"/>
      <w:suff w:val="nothing"/>
      <w:lvlText w:val="%1   "/>
      <w:lvlJc w:val="left"/>
      <w:pPr>
        <w:ind w:left="1173"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 w15:restartNumberingAfterBreak="0">
    <w:nsid w:val="1DBF583A"/>
    <w:multiLevelType w:val="multilevel"/>
    <w:tmpl w:val="1DBF583A"/>
    <w:lvl w:ilvl="0">
      <w:start w:val="1"/>
      <w:numFmt w:val="decimal"/>
      <w:pStyle w:val="a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3" w15:restartNumberingAfterBreak="0">
    <w:nsid w:val="1EBB594D"/>
    <w:multiLevelType w:val="singleLevel"/>
    <w:tmpl w:val="1EBB594D"/>
    <w:lvl w:ilvl="0">
      <w:start w:val="1"/>
      <w:numFmt w:val="lowerLetter"/>
      <w:suff w:val="nothing"/>
      <w:lvlText w:val="%1）"/>
      <w:lvlJc w:val="left"/>
    </w:lvl>
  </w:abstractNum>
  <w:abstractNum w:abstractNumId="4" w15:restartNumberingAfterBreak="0">
    <w:nsid w:val="1FC91163"/>
    <w:multiLevelType w:val="multilevel"/>
    <w:tmpl w:val="1FC91163"/>
    <w:lvl w:ilvl="0">
      <w:start w:val="1"/>
      <w:numFmt w:val="decimal"/>
      <w:pStyle w:val="a1"/>
      <w:suff w:val="nothing"/>
      <w:lvlText w:val="%1　"/>
      <w:lvlJc w:val="left"/>
      <w:pPr>
        <w:ind w:left="426" w:firstLine="0"/>
      </w:pPr>
      <w:rPr>
        <w:rFonts w:ascii="黑体" w:eastAsia="黑体" w:hAnsi="Times New Roman" w:hint="eastAsia"/>
        <w:b w:val="0"/>
        <w:i w:val="0"/>
        <w:sz w:val="21"/>
        <w:szCs w:val="21"/>
      </w:rPr>
    </w:lvl>
    <w:lvl w:ilvl="1">
      <w:start w:val="1"/>
      <w:numFmt w:val="decimal"/>
      <w:pStyle w:val="a2"/>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3"/>
      <w:suff w:val="nothing"/>
      <w:lvlText w:val="%1.%2.%3　"/>
      <w:lvlJc w:val="left"/>
      <w:pPr>
        <w:ind w:left="568"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44C50F90"/>
    <w:multiLevelType w:val="multilevel"/>
    <w:tmpl w:val="44C50F90"/>
    <w:lvl w:ilvl="0">
      <w:start w:val="1"/>
      <w:numFmt w:val="lowerLetter"/>
      <w:pStyle w:val="a9"/>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a"/>
      <w:lvlText w:val="%2)"/>
      <w:lvlJc w:val="left"/>
      <w:pPr>
        <w:tabs>
          <w:tab w:val="left" w:pos="1259"/>
        </w:tabs>
        <w:ind w:left="1259" w:hanging="420"/>
      </w:pPr>
      <w:rPr>
        <w:rFonts w:ascii="宋体" w:eastAsia="宋体" w:hAnsi="宋体" w:hint="eastAsia"/>
        <w:b w:val="0"/>
        <w:i w:val="0"/>
        <w:sz w:val="20"/>
      </w:rPr>
    </w:lvl>
    <w:lvl w:ilvl="2">
      <w:start w:val="1"/>
      <w:numFmt w:val="decimal"/>
      <w:pStyle w:val="ab"/>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eastAsia="宋体" w:hint="eastAsia"/>
        <w:sz w:val="21"/>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7" w15:restartNumberingAfterBreak="0">
    <w:nsid w:val="60B55DC2"/>
    <w:multiLevelType w:val="multilevel"/>
    <w:tmpl w:val="60B55DC2"/>
    <w:lvl w:ilvl="0">
      <w:start w:val="1"/>
      <w:numFmt w:val="upperLetter"/>
      <w:pStyle w:val="ac"/>
      <w:lvlText w:val="%1"/>
      <w:lvlJc w:val="left"/>
      <w:pPr>
        <w:tabs>
          <w:tab w:val="left" w:pos="0"/>
        </w:tabs>
        <w:ind w:left="0" w:hanging="425"/>
      </w:pPr>
      <w:rPr>
        <w:rFonts w:hint="eastAsia"/>
      </w:rPr>
    </w:lvl>
    <w:lvl w:ilvl="1">
      <w:start w:val="1"/>
      <w:numFmt w:val="decimal"/>
      <w:pStyle w:val="ad"/>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15:restartNumberingAfterBreak="0">
    <w:nsid w:val="646260FA"/>
    <w:multiLevelType w:val="multilevel"/>
    <w:tmpl w:val="646260FA"/>
    <w:lvl w:ilvl="0">
      <w:start w:val="1"/>
      <w:numFmt w:val="decimal"/>
      <w:pStyle w:val="ae"/>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57D3FBC"/>
    <w:multiLevelType w:val="multilevel"/>
    <w:tmpl w:val="657D3FBC"/>
    <w:lvl w:ilvl="0">
      <w:start w:val="1"/>
      <w:numFmt w:val="upperLetter"/>
      <w:pStyle w:val="a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1"/>
      <w:suff w:val="nothing"/>
      <w:lvlText w:val="%1.%2.%3　"/>
      <w:lvlJc w:val="left"/>
      <w:pPr>
        <w:ind w:left="0" w:firstLine="0"/>
      </w:pPr>
      <w:rPr>
        <w:rFonts w:ascii="黑体" w:eastAsia="黑体" w:hAnsi="Times New Roman" w:hint="eastAsia"/>
        <w:b w:val="0"/>
        <w:i w:val="0"/>
        <w:sz w:val="21"/>
      </w:rPr>
    </w:lvl>
    <w:lvl w:ilvl="3">
      <w:start w:val="1"/>
      <w:numFmt w:val="decimal"/>
      <w:pStyle w:val="af2"/>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118834082">
    <w:abstractNumId w:val="1"/>
  </w:num>
  <w:num w:numId="2" w16cid:durableId="982654937">
    <w:abstractNumId w:val="4"/>
  </w:num>
  <w:num w:numId="3" w16cid:durableId="745493924">
    <w:abstractNumId w:val="7"/>
  </w:num>
  <w:num w:numId="4" w16cid:durableId="1797137012">
    <w:abstractNumId w:val="0"/>
  </w:num>
  <w:num w:numId="5" w16cid:durableId="885484179">
    <w:abstractNumId w:val="6"/>
  </w:num>
  <w:num w:numId="6" w16cid:durableId="991370046">
    <w:abstractNumId w:val="9"/>
  </w:num>
  <w:num w:numId="7" w16cid:durableId="915897739">
    <w:abstractNumId w:val="5"/>
  </w:num>
  <w:num w:numId="8" w16cid:durableId="345375182">
    <w:abstractNumId w:val="2"/>
  </w:num>
  <w:num w:numId="9" w16cid:durableId="202013873">
    <w:abstractNumId w:val="8"/>
  </w:num>
  <w:num w:numId="10" w16cid:durableId="161698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69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CDC"/>
    <w:rsid w:val="00022AA7"/>
    <w:rsid w:val="00023694"/>
    <w:rsid w:val="00023C6F"/>
    <w:rsid w:val="00026338"/>
    <w:rsid w:val="000263E3"/>
    <w:rsid w:val="00035560"/>
    <w:rsid w:val="00045344"/>
    <w:rsid w:val="00064AC2"/>
    <w:rsid w:val="0007115B"/>
    <w:rsid w:val="00087D8C"/>
    <w:rsid w:val="0009469C"/>
    <w:rsid w:val="000A2494"/>
    <w:rsid w:val="000A5BB4"/>
    <w:rsid w:val="000D3F9E"/>
    <w:rsid w:val="000F6497"/>
    <w:rsid w:val="001000A0"/>
    <w:rsid w:val="0010028A"/>
    <w:rsid w:val="00105305"/>
    <w:rsid w:val="00117F39"/>
    <w:rsid w:val="00130F73"/>
    <w:rsid w:val="00135907"/>
    <w:rsid w:val="00136758"/>
    <w:rsid w:val="00145E14"/>
    <w:rsid w:val="0015305A"/>
    <w:rsid w:val="00154C7F"/>
    <w:rsid w:val="00161ABB"/>
    <w:rsid w:val="00162628"/>
    <w:rsid w:val="00172A27"/>
    <w:rsid w:val="00176ABB"/>
    <w:rsid w:val="00185FD6"/>
    <w:rsid w:val="001A6C0B"/>
    <w:rsid w:val="001B0D41"/>
    <w:rsid w:val="001B71BC"/>
    <w:rsid w:val="001C7943"/>
    <w:rsid w:val="001E73B2"/>
    <w:rsid w:val="001F727D"/>
    <w:rsid w:val="0020544A"/>
    <w:rsid w:val="002225B4"/>
    <w:rsid w:val="00240B04"/>
    <w:rsid w:val="00246C6A"/>
    <w:rsid w:val="00251340"/>
    <w:rsid w:val="0025796B"/>
    <w:rsid w:val="00261062"/>
    <w:rsid w:val="00282674"/>
    <w:rsid w:val="00283548"/>
    <w:rsid w:val="00285433"/>
    <w:rsid w:val="002948F7"/>
    <w:rsid w:val="002C4BFE"/>
    <w:rsid w:val="002C62E6"/>
    <w:rsid w:val="002C6B9B"/>
    <w:rsid w:val="002D2DD2"/>
    <w:rsid w:val="002D4C60"/>
    <w:rsid w:val="002E03D1"/>
    <w:rsid w:val="002E05D4"/>
    <w:rsid w:val="002F111D"/>
    <w:rsid w:val="002F537C"/>
    <w:rsid w:val="00302A66"/>
    <w:rsid w:val="003220CC"/>
    <w:rsid w:val="00326ED3"/>
    <w:rsid w:val="00335FBB"/>
    <w:rsid w:val="003463B2"/>
    <w:rsid w:val="00380183"/>
    <w:rsid w:val="003819C9"/>
    <w:rsid w:val="003859EF"/>
    <w:rsid w:val="0039394C"/>
    <w:rsid w:val="003A276C"/>
    <w:rsid w:val="003A4E03"/>
    <w:rsid w:val="003A57BD"/>
    <w:rsid w:val="003C14FC"/>
    <w:rsid w:val="003C6040"/>
    <w:rsid w:val="003C6EFB"/>
    <w:rsid w:val="003D6412"/>
    <w:rsid w:val="003E57A7"/>
    <w:rsid w:val="003F188D"/>
    <w:rsid w:val="003F66F9"/>
    <w:rsid w:val="004208E3"/>
    <w:rsid w:val="004222FC"/>
    <w:rsid w:val="004250ED"/>
    <w:rsid w:val="004458F7"/>
    <w:rsid w:val="00464989"/>
    <w:rsid w:val="00470B76"/>
    <w:rsid w:val="0049233D"/>
    <w:rsid w:val="004B76C6"/>
    <w:rsid w:val="004C7FF6"/>
    <w:rsid w:val="004D2DA4"/>
    <w:rsid w:val="004D7E8C"/>
    <w:rsid w:val="0050496C"/>
    <w:rsid w:val="00505A23"/>
    <w:rsid w:val="00507D37"/>
    <w:rsid w:val="0051782D"/>
    <w:rsid w:val="005210D7"/>
    <w:rsid w:val="00530E4B"/>
    <w:rsid w:val="0053533C"/>
    <w:rsid w:val="00535EC3"/>
    <w:rsid w:val="00540E4A"/>
    <w:rsid w:val="00543D8E"/>
    <w:rsid w:val="00563E68"/>
    <w:rsid w:val="0056432B"/>
    <w:rsid w:val="005707CF"/>
    <w:rsid w:val="00585BEA"/>
    <w:rsid w:val="00587607"/>
    <w:rsid w:val="005A083C"/>
    <w:rsid w:val="005A2159"/>
    <w:rsid w:val="005C31F1"/>
    <w:rsid w:val="005C5F24"/>
    <w:rsid w:val="005D2E1B"/>
    <w:rsid w:val="005E17C3"/>
    <w:rsid w:val="005E2D1E"/>
    <w:rsid w:val="005F6468"/>
    <w:rsid w:val="006117A3"/>
    <w:rsid w:val="00611C77"/>
    <w:rsid w:val="00615048"/>
    <w:rsid w:val="00637B0A"/>
    <w:rsid w:val="00644650"/>
    <w:rsid w:val="00665A70"/>
    <w:rsid w:val="00671B88"/>
    <w:rsid w:val="00672D5A"/>
    <w:rsid w:val="00677A2C"/>
    <w:rsid w:val="006A127D"/>
    <w:rsid w:val="006A6264"/>
    <w:rsid w:val="006B2B48"/>
    <w:rsid w:val="006D0663"/>
    <w:rsid w:val="006D7284"/>
    <w:rsid w:val="006E05C2"/>
    <w:rsid w:val="006E1CDF"/>
    <w:rsid w:val="006F2B4F"/>
    <w:rsid w:val="00703FDA"/>
    <w:rsid w:val="00712A12"/>
    <w:rsid w:val="0071447B"/>
    <w:rsid w:val="007169D4"/>
    <w:rsid w:val="00731D62"/>
    <w:rsid w:val="00737B59"/>
    <w:rsid w:val="00743B95"/>
    <w:rsid w:val="00746238"/>
    <w:rsid w:val="007504AA"/>
    <w:rsid w:val="00751451"/>
    <w:rsid w:val="0078275B"/>
    <w:rsid w:val="007969DD"/>
    <w:rsid w:val="007B1978"/>
    <w:rsid w:val="007B358A"/>
    <w:rsid w:val="007C531D"/>
    <w:rsid w:val="007E7490"/>
    <w:rsid w:val="007F26CB"/>
    <w:rsid w:val="007F3B70"/>
    <w:rsid w:val="00832B80"/>
    <w:rsid w:val="00841037"/>
    <w:rsid w:val="00845817"/>
    <w:rsid w:val="00850E5A"/>
    <w:rsid w:val="00860966"/>
    <w:rsid w:val="008653C8"/>
    <w:rsid w:val="00887B8B"/>
    <w:rsid w:val="00892467"/>
    <w:rsid w:val="008928D4"/>
    <w:rsid w:val="00897A02"/>
    <w:rsid w:val="008D5475"/>
    <w:rsid w:val="008E0304"/>
    <w:rsid w:val="008E59EC"/>
    <w:rsid w:val="008F15F8"/>
    <w:rsid w:val="008F1ED2"/>
    <w:rsid w:val="008F3866"/>
    <w:rsid w:val="0091558C"/>
    <w:rsid w:val="00921ED4"/>
    <w:rsid w:val="00932FA7"/>
    <w:rsid w:val="0094226D"/>
    <w:rsid w:val="00955A63"/>
    <w:rsid w:val="00961152"/>
    <w:rsid w:val="009C4EEB"/>
    <w:rsid w:val="009C75C5"/>
    <w:rsid w:val="009F5F79"/>
    <w:rsid w:val="00A02473"/>
    <w:rsid w:val="00A02665"/>
    <w:rsid w:val="00A0683F"/>
    <w:rsid w:val="00A21C21"/>
    <w:rsid w:val="00A30170"/>
    <w:rsid w:val="00A33375"/>
    <w:rsid w:val="00A54EB8"/>
    <w:rsid w:val="00A636FC"/>
    <w:rsid w:val="00A64453"/>
    <w:rsid w:val="00A6610D"/>
    <w:rsid w:val="00A83EF3"/>
    <w:rsid w:val="00A868C8"/>
    <w:rsid w:val="00AA21E7"/>
    <w:rsid w:val="00AA2AC8"/>
    <w:rsid w:val="00AA6CE9"/>
    <w:rsid w:val="00AB68E6"/>
    <w:rsid w:val="00AC0D6E"/>
    <w:rsid w:val="00AD66FB"/>
    <w:rsid w:val="00AE2D97"/>
    <w:rsid w:val="00AF05FC"/>
    <w:rsid w:val="00AF4702"/>
    <w:rsid w:val="00B167A1"/>
    <w:rsid w:val="00B33380"/>
    <w:rsid w:val="00B42BA7"/>
    <w:rsid w:val="00B44A55"/>
    <w:rsid w:val="00B535A5"/>
    <w:rsid w:val="00B64C9C"/>
    <w:rsid w:val="00BB25D6"/>
    <w:rsid w:val="00BC59CC"/>
    <w:rsid w:val="00BD48F6"/>
    <w:rsid w:val="00BD7D5B"/>
    <w:rsid w:val="00BE200B"/>
    <w:rsid w:val="00BE42F1"/>
    <w:rsid w:val="00BE59B7"/>
    <w:rsid w:val="00BF0B1D"/>
    <w:rsid w:val="00BF484E"/>
    <w:rsid w:val="00BF5066"/>
    <w:rsid w:val="00BF5A8E"/>
    <w:rsid w:val="00C2010B"/>
    <w:rsid w:val="00C21ADE"/>
    <w:rsid w:val="00C24E96"/>
    <w:rsid w:val="00C259E0"/>
    <w:rsid w:val="00C451BA"/>
    <w:rsid w:val="00C53A23"/>
    <w:rsid w:val="00C56C64"/>
    <w:rsid w:val="00C72A0A"/>
    <w:rsid w:val="00C77FCE"/>
    <w:rsid w:val="00C80BCF"/>
    <w:rsid w:val="00C87362"/>
    <w:rsid w:val="00C91163"/>
    <w:rsid w:val="00C92F76"/>
    <w:rsid w:val="00C935D1"/>
    <w:rsid w:val="00CA08DB"/>
    <w:rsid w:val="00CA2A6C"/>
    <w:rsid w:val="00CA6644"/>
    <w:rsid w:val="00CB2919"/>
    <w:rsid w:val="00CB4470"/>
    <w:rsid w:val="00CD7603"/>
    <w:rsid w:val="00CF20F0"/>
    <w:rsid w:val="00D120EB"/>
    <w:rsid w:val="00D15928"/>
    <w:rsid w:val="00D23697"/>
    <w:rsid w:val="00D31977"/>
    <w:rsid w:val="00D351CE"/>
    <w:rsid w:val="00D45E46"/>
    <w:rsid w:val="00D53956"/>
    <w:rsid w:val="00D66F06"/>
    <w:rsid w:val="00D70BBB"/>
    <w:rsid w:val="00D75EE8"/>
    <w:rsid w:val="00D8338B"/>
    <w:rsid w:val="00D83509"/>
    <w:rsid w:val="00D9396B"/>
    <w:rsid w:val="00DB11E3"/>
    <w:rsid w:val="00DC0D74"/>
    <w:rsid w:val="00DC3BC2"/>
    <w:rsid w:val="00DD10B1"/>
    <w:rsid w:val="00DD3741"/>
    <w:rsid w:val="00DE0415"/>
    <w:rsid w:val="00DF09E4"/>
    <w:rsid w:val="00E02645"/>
    <w:rsid w:val="00E33C4B"/>
    <w:rsid w:val="00E3559C"/>
    <w:rsid w:val="00E36220"/>
    <w:rsid w:val="00E40A54"/>
    <w:rsid w:val="00E73294"/>
    <w:rsid w:val="00E773AE"/>
    <w:rsid w:val="00E77711"/>
    <w:rsid w:val="00E82BD7"/>
    <w:rsid w:val="00EC530A"/>
    <w:rsid w:val="00EC6C5F"/>
    <w:rsid w:val="00EE064D"/>
    <w:rsid w:val="00EF1AE4"/>
    <w:rsid w:val="00EF3135"/>
    <w:rsid w:val="00F01BB9"/>
    <w:rsid w:val="00F40815"/>
    <w:rsid w:val="00F47341"/>
    <w:rsid w:val="00F51D1A"/>
    <w:rsid w:val="00F55F4F"/>
    <w:rsid w:val="00F664E3"/>
    <w:rsid w:val="00F66AA0"/>
    <w:rsid w:val="00F75A9B"/>
    <w:rsid w:val="00F7630A"/>
    <w:rsid w:val="00F8752A"/>
    <w:rsid w:val="00FA3FCD"/>
    <w:rsid w:val="00FA6A95"/>
    <w:rsid w:val="00FB6164"/>
    <w:rsid w:val="00FC5325"/>
    <w:rsid w:val="00FC6023"/>
    <w:rsid w:val="00FE16B5"/>
    <w:rsid w:val="00FF1E34"/>
    <w:rsid w:val="03650E9B"/>
    <w:rsid w:val="0C780E61"/>
    <w:rsid w:val="110928D6"/>
    <w:rsid w:val="18477163"/>
    <w:rsid w:val="18D404D5"/>
    <w:rsid w:val="1A3A0853"/>
    <w:rsid w:val="1A475C4E"/>
    <w:rsid w:val="1B520750"/>
    <w:rsid w:val="1D475157"/>
    <w:rsid w:val="220855E6"/>
    <w:rsid w:val="22420C43"/>
    <w:rsid w:val="25040E68"/>
    <w:rsid w:val="25486FA4"/>
    <w:rsid w:val="260848C3"/>
    <w:rsid w:val="27A627F8"/>
    <w:rsid w:val="2B4F0C27"/>
    <w:rsid w:val="2D4A1C88"/>
    <w:rsid w:val="2D4C4D7F"/>
    <w:rsid w:val="2FF75200"/>
    <w:rsid w:val="32C87BC8"/>
    <w:rsid w:val="35A212D6"/>
    <w:rsid w:val="389A3CF7"/>
    <w:rsid w:val="39B328B7"/>
    <w:rsid w:val="3C1176AA"/>
    <w:rsid w:val="403B53E4"/>
    <w:rsid w:val="416F1AFB"/>
    <w:rsid w:val="41AA0EAA"/>
    <w:rsid w:val="421F0337"/>
    <w:rsid w:val="45247308"/>
    <w:rsid w:val="471140BA"/>
    <w:rsid w:val="4C0B5148"/>
    <w:rsid w:val="51181CD0"/>
    <w:rsid w:val="571C7951"/>
    <w:rsid w:val="57AD48FB"/>
    <w:rsid w:val="58171326"/>
    <w:rsid w:val="584F39C4"/>
    <w:rsid w:val="58B6344E"/>
    <w:rsid w:val="58DD4142"/>
    <w:rsid w:val="697A259C"/>
    <w:rsid w:val="6E4B10CA"/>
    <w:rsid w:val="6E940458"/>
    <w:rsid w:val="6F527F4B"/>
    <w:rsid w:val="6F831160"/>
    <w:rsid w:val="716E2506"/>
    <w:rsid w:val="739B691F"/>
    <w:rsid w:val="77143E38"/>
    <w:rsid w:val="7AC62811"/>
    <w:rsid w:val="7E532F2A"/>
    <w:rsid w:val="7E655B4E"/>
    <w:rsid w:val="7FCD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3C69DFB"/>
  <w15:docId w15:val="{C3DF8C65-9679-45A8-BA5C-2C48EB46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6">
    <w:name w:val="Normal"/>
    <w:qFormat/>
    <w:pPr>
      <w:widowControl w:val="0"/>
      <w:jc w:val="both"/>
    </w:pPr>
    <w:rPr>
      <w:kern w:val="2"/>
      <w:sz w:val="21"/>
    </w:rPr>
  </w:style>
  <w:style w:type="paragraph" w:styleId="1">
    <w:name w:val="heading 1"/>
    <w:basedOn w:val="af6"/>
    <w:next w:val="af6"/>
    <w:link w:val="10"/>
    <w:uiPriority w:val="9"/>
    <w:qFormat/>
    <w:pPr>
      <w:keepNext/>
      <w:keepLines/>
      <w:spacing w:before="340" w:after="330" w:line="578" w:lineRule="auto"/>
      <w:outlineLvl w:val="0"/>
    </w:pPr>
    <w:rPr>
      <w:b/>
      <w:bCs/>
      <w:kern w:val="44"/>
      <w:sz w:val="44"/>
      <w:szCs w:val="44"/>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Normal Indent"/>
    <w:basedOn w:val="af6"/>
    <w:next w:val="afb"/>
    <w:qFormat/>
    <w:pPr>
      <w:spacing w:beforeLines="50" w:before="156" w:line="560" w:lineRule="exact"/>
      <w:ind w:firstLineChars="200" w:firstLine="643"/>
    </w:pPr>
    <w:rPr>
      <w:rFonts w:ascii="宋体" w:hAnsi="宋体" w:hint="eastAsia"/>
      <w:kern w:val="0"/>
      <w:sz w:val="28"/>
    </w:rPr>
  </w:style>
  <w:style w:type="paragraph" w:styleId="afb">
    <w:name w:val="Body Text"/>
    <w:basedOn w:val="af6"/>
    <w:next w:val="af6"/>
    <w:uiPriority w:val="99"/>
    <w:unhideWhenUsed/>
    <w:qFormat/>
    <w:pPr>
      <w:spacing w:after="120"/>
    </w:pPr>
    <w:rPr>
      <w:szCs w:val="24"/>
    </w:rPr>
  </w:style>
  <w:style w:type="paragraph" w:styleId="TOC3">
    <w:name w:val="toc 3"/>
    <w:basedOn w:val="af6"/>
    <w:next w:val="af6"/>
    <w:uiPriority w:val="39"/>
    <w:qFormat/>
    <w:pPr>
      <w:tabs>
        <w:tab w:val="right" w:leader="dot" w:pos="9241"/>
      </w:tabs>
      <w:ind w:firstLineChars="100" w:firstLine="102"/>
      <w:jc w:val="left"/>
    </w:pPr>
    <w:rPr>
      <w:rFonts w:ascii="宋体"/>
      <w:szCs w:val="21"/>
    </w:rPr>
  </w:style>
  <w:style w:type="paragraph" w:styleId="afc">
    <w:name w:val="Balloon Text"/>
    <w:basedOn w:val="af6"/>
    <w:link w:val="afd"/>
    <w:uiPriority w:val="99"/>
    <w:unhideWhenUsed/>
    <w:qFormat/>
    <w:rPr>
      <w:sz w:val="18"/>
      <w:szCs w:val="18"/>
    </w:rPr>
  </w:style>
  <w:style w:type="paragraph" w:styleId="afe">
    <w:name w:val="footer"/>
    <w:basedOn w:val="af6"/>
    <w:link w:val="aff"/>
    <w:uiPriority w:val="99"/>
    <w:qFormat/>
    <w:pPr>
      <w:tabs>
        <w:tab w:val="center" w:pos="4153"/>
        <w:tab w:val="right" w:pos="8306"/>
      </w:tabs>
      <w:snapToGrid w:val="0"/>
      <w:jc w:val="left"/>
    </w:pPr>
    <w:rPr>
      <w:sz w:val="18"/>
    </w:rPr>
  </w:style>
  <w:style w:type="paragraph" w:styleId="aff0">
    <w:name w:val="header"/>
    <w:basedOn w:val="af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f6"/>
    <w:next w:val="af6"/>
    <w:uiPriority w:val="39"/>
    <w:qFormat/>
    <w:pPr>
      <w:tabs>
        <w:tab w:val="right" w:leader="dot" w:pos="9241"/>
      </w:tabs>
      <w:spacing w:beforeLines="25" w:before="25" w:afterLines="25" w:after="25"/>
      <w:jc w:val="left"/>
    </w:pPr>
    <w:rPr>
      <w:rFonts w:ascii="宋体"/>
      <w:szCs w:val="21"/>
    </w:rPr>
  </w:style>
  <w:style w:type="paragraph" w:styleId="TOC2">
    <w:name w:val="toc 2"/>
    <w:basedOn w:val="af6"/>
    <w:next w:val="af6"/>
    <w:uiPriority w:val="39"/>
    <w:unhideWhenUsed/>
    <w:qFormat/>
    <w:pPr>
      <w:ind w:leftChars="200" w:left="420"/>
    </w:pPr>
  </w:style>
  <w:style w:type="paragraph" w:styleId="aff1">
    <w:name w:val="Normal (Web)"/>
    <w:basedOn w:val="af6"/>
    <w:uiPriority w:val="99"/>
    <w:unhideWhenUsed/>
    <w:qFormat/>
    <w:pPr>
      <w:widowControl/>
      <w:spacing w:before="100" w:beforeAutospacing="1" w:after="100" w:afterAutospacing="1"/>
      <w:jc w:val="left"/>
    </w:pPr>
    <w:rPr>
      <w:rFonts w:ascii="宋体" w:hAnsi="宋体"/>
      <w:kern w:val="0"/>
      <w:sz w:val="24"/>
      <w:szCs w:val="24"/>
    </w:rPr>
  </w:style>
  <w:style w:type="table" w:styleId="aff2">
    <w:name w:val="Table Grid"/>
    <w:basedOn w:val="af8"/>
    <w:qFormat/>
    <w:pPr>
      <w:numPr>
        <w:numId w:val="1"/>
      </w:numPr>
      <w:ind w:left="0" w:firstLine="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page number"/>
    <w:qFormat/>
    <w:rPr>
      <w:rFonts w:ascii="Times New Roman" w:eastAsia="宋体" w:hAnsi="Times New Roman"/>
      <w:sz w:val="18"/>
    </w:rPr>
  </w:style>
  <w:style w:type="character" w:styleId="aff4">
    <w:name w:val="Emphasis"/>
    <w:basedOn w:val="af7"/>
    <w:uiPriority w:val="20"/>
    <w:qFormat/>
    <w:rPr>
      <w:i/>
    </w:rPr>
  </w:style>
  <w:style w:type="character" w:styleId="aff5">
    <w:name w:val="Hyperlink"/>
    <w:uiPriority w:val="99"/>
    <w:qFormat/>
    <w:rPr>
      <w:color w:val="0000FF"/>
      <w:spacing w:val="0"/>
      <w:w w:val="100"/>
      <w:szCs w:val="21"/>
      <w:u w:val="single"/>
    </w:rPr>
  </w:style>
  <w:style w:type="character" w:customStyle="1" w:styleId="Char">
    <w:name w:val="三级条标题 Char"/>
    <w:link w:val="a4"/>
    <w:qFormat/>
    <w:rPr>
      <w:rFonts w:ascii="黑体" w:eastAsia="黑体"/>
      <w:sz w:val="21"/>
      <w:szCs w:val="21"/>
    </w:rPr>
  </w:style>
  <w:style w:type="paragraph" w:customStyle="1" w:styleId="a4">
    <w:name w:val="三级条标题"/>
    <w:basedOn w:val="a3"/>
    <w:next w:val="aff6"/>
    <w:link w:val="Char"/>
    <w:qFormat/>
    <w:pPr>
      <w:numPr>
        <w:ilvl w:val="3"/>
      </w:numPr>
      <w:outlineLvl w:val="4"/>
    </w:pPr>
  </w:style>
  <w:style w:type="paragraph" w:customStyle="1" w:styleId="a3">
    <w:name w:val="二级条标题"/>
    <w:basedOn w:val="a2"/>
    <w:next w:val="aff6"/>
    <w:link w:val="Char0"/>
    <w:qFormat/>
    <w:pPr>
      <w:numPr>
        <w:ilvl w:val="2"/>
      </w:numPr>
      <w:spacing w:before="50" w:after="50"/>
      <w:outlineLvl w:val="3"/>
    </w:pPr>
  </w:style>
  <w:style w:type="paragraph" w:customStyle="1" w:styleId="a2">
    <w:name w:val="一级条标题"/>
    <w:next w:val="aff6"/>
    <w:qFormat/>
    <w:pPr>
      <w:numPr>
        <w:ilvl w:val="1"/>
        <w:numId w:val="2"/>
      </w:numPr>
      <w:spacing w:beforeLines="50" w:before="156" w:afterLines="50" w:after="156"/>
      <w:outlineLvl w:val="2"/>
    </w:pPr>
    <w:rPr>
      <w:rFonts w:ascii="黑体" w:eastAsia="黑体"/>
      <w:sz w:val="21"/>
      <w:szCs w:val="21"/>
    </w:rPr>
  </w:style>
  <w:style w:type="paragraph" w:customStyle="1" w:styleId="aff6">
    <w:name w:val="段"/>
    <w:link w:val="Char1"/>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二级条标题 Char"/>
    <w:link w:val="a3"/>
    <w:qFormat/>
    <w:rPr>
      <w:rFonts w:ascii="黑体" w:eastAsia="黑体"/>
      <w:sz w:val="21"/>
      <w:szCs w:val="21"/>
    </w:rPr>
  </w:style>
  <w:style w:type="character" w:customStyle="1" w:styleId="aff">
    <w:name w:val="页脚 字符"/>
    <w:link w:val="afe"/>
    <w:uiPriority w:val="99"/>
    <w:qFormat/>
    <w:rPr>
      <w:kern w:val="2"/>
      <w:sz w:val="18"/>
    </w:rPr>
  </w:style>
  <w:style w:type="character" w:customStyle="1" w:styleId="15">
    <w:name w:val="15"/>
    <w:qFormat/>
    <w:rPr>
      <w:rFonts w:ascii="黑体" w:eastAsia="黑体" w:hint="eastAsia"/>
      <w:b/>
      <w:bCs/>
      <w:sz w:val="28"/>
      <w:szCs w:val="28"/>
    </w:rPr>
  </w:style>
  <w:style w:type="character" w:customStyle="1" w:styleId="10">
    <w:name w:val="标题 1 字符"/>
    <w:link w:val="1"/>
    <w:uiPriority w:val="9"/>
    <w:qFormat/>
    <w:rPr>
      <w:b/>
      <w:bCs/>
      <w:kern w:val="44"/>
      <w:sz w:val="44"/>
      <w:szCs w:val="44"/>
    </w:rPr>
  </w:style>
  <w:style w:type="character" w:customStyle="1" w:styleId="afd">
    <w:name w:val="批注框文本 字符"/>
    <w:link w:val="afc"/>
    <w:uiPriority w:val="99"/>
    <w:semiHidden/>
    <w:qFormat/>
    <w:rPr>
      <w:kern w:val="2"/>
      <w:sz w:val="18"/>
      <w:szCs w:val="18"/>
    </w:rPr>
  </w:style>
  <w:style w:type="character" w:customStyle="1" w:styleId="Char1">
    <w:name w:val="段 Char"/>
    <w:link w:val="aff6"/>
    <w:qFormat/>
    <w:rPr>
      <w:rFonts w:ascii="宋体"/>
      <w:sz w:val="21"/>
      <w:lang w:val="en-US" w:eastAsia="zh-CN" w:bidi="ar-SA"/>
    </w:rPr>
  </w:style>
  <w:style w:type="character" w:customStyle="1" w:styleId="aff7">
    <w:name w:val="发布"/>
    <w:qFormat/>
    <w:rPr>
      <w:rFonts w:ascii="黑体" w:eastAsia="黑体"/>
      <w:spacing w:val="85"/>
      <w:w w:val="100"/>
      <w:position w:val="3"/>
      <w:sz w:val="28"/>
      <w:szCs w:val="28"/>
    </w:rPr>
  </w:style>
  <w:style w:type="character" w:customStyle="1" w:styleId="Char2">
    <w:name w:val="正文文本缩进 Char"/>
    <w:qFormat/>
    <w:rPr>
      <w:rFonts w:ascii="宋体" w:eastAsia="宋体" w:hAnsi="宋体" w:cs="宋体"/>
      <w:kern w:val="2"/>
      <w:sz w:val="24"/>
      <w:szCs w:val="24"/>
      <w:lang w:val="en-US" w:eastAsia="zh-CN" w:bidi="ar-SA"/>
    </w:rPr>
  </w:style>
  <w:style w:type="paragraph" w:customStyle="1" w:styleId="aff8">
    <w:name w:val="二级无"/>
    <w:basedOn w:val="a3"/>
    <w:qFormat/>
    <w:pPr>
      <w:spacing w:beforeLines="0" w:before="0" w:afterLines="0" w:after="0"/>
    </w:pPr>
    <w:rPr>
      <w:rFonts w:ascii="宋体" w:eastAsia="宋体"/>
    </w:rPr>
  </w:style>
  <w:style w:type="paragraph" w:customStyle="1" w:styleId="a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c">
    <w:name w:val="附录表标号"/>
    <w:basedOn w:val="af6"/>
    <w:next w:val="aff6"/>
    <w:qFormat/>
    <w:pPr>
      <w:numPr>
        <w:numId w:val="3"/>
      </w:numPr>
      <w:tabs>
        <w:tab w:val="clear" w:pos="0"/>
      </w:tabs>
      <w:spacing w:line="14" w:lineRule="exact"/>
      <w:ind w:left="811" w:hanging="448"/>
      <w:jc w:val="center"/>
      <w:outlineLvl w:val="0"/>
    </w:pPr>
    <w:rPr>
      <w:color w:val="FFFFFF"/>
      <w:szCs w:val="24"/>
    </w:rPr>
  </w:style>
  <w:style w:type="paragraph" w:customStyle="1" w:styleId="a">
    <w:name w:val="注×："/>
    <w:qFormat/>
    <w:pPr>
      <w:widowControl w:val="0"/>
      <w:numPr>
        <w:numId w:val="4"/>
      </w:numPr>
      <w:autoSpaceDE w:val="0"/>
      <w:autoSpaceDN w:val="0"/>
      <w:jc w:val="both"/>
    </w:pPr>
    <w:rPr>
      <w:rFonts w:ascii="宋体"/>
      <w:sz w:val="18"/>
      <w:szCs w:val="18"/>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styleId="affa">
    <w:name w:val="List Paragraph"/>
    <w:basedOn w:val="af6"/>
    <w:uiPriority w:val="34"/>
    <w:qFormat/>
    <w:pPr>
      <w:ind w:firstLineChars="200" w:firstLine="420"/>
    </w:pPr>
    <w:rPr>
      <w:rFonts w:ascii="Calibri" w:hAnsi="Calibri"/>
      <w:szCs w:val="22"/>
    </w:rPr>
  </w:style>
  <w:style w:type="paragraph" w:customStyle="1" w:styleId="aa">
    <w:name w:val="数字编号列项（二级）"/>
    <w:qFormat/>
    <w:pPr>
      <w:numPr>
        <w:ilvl w:val="1"/>
        <w:numId w:val="5"/>
      </w:numPr>
      <w:jc w:val="both"/>
    </w:pPr>
    <w:rPr>
      <w:rFonts w:ascii="宋体"/>
      <w:sz w:val="21"/>
    </w:rPr>
  </w:style>
  <w:style w:type="paragraph" w:customStyle="1" w:styleId="affb">
    <w:name w:val="终结线"/>
    <w:basedOn w:val="af6"/>
    <w:qFormat/>
    <w:pPr>
      <w:framePr w:hSpace="181" w:vSpace="181" w:wrap="around" w:vAnchor="text" w:hAnchor="margin" w:xAlign="center" w:y="285"/>
    </w:pPr>
  </w:style>
  <w:style w:type="paragraph" w:customStyle="1" w:styleId="WPSOffice2">
    <w:name w:val="WPSOffice手动目录 2"/>
    <w:qFormat/>
    <w:pPr>
      <w:ind w:leftChars="200" w:left="200"/>
    </w:pPr>
  </w:style>
  <w:style w:type="paragraph" w:customStyle="1" w:styleId="11">
    <w:name w:val="样式 标题 1 + 非加粗"/>
    <w:basedOn w:val="1"/>
    <w:qFormat/>
    <w:pPr>
      <w:spacing w:beforeLines="100" w:before="100" w:afterLines="100" w:after="100" w:line="240" w:lineRule="auto"/>
    </w:pPr>
    <w:rPr>
      <w:rFonts w:eastAsia="黑体"/>
      <w:b w:val="0"/>
      <w:bCs w:val="0"/>
      <w:sz w:val="21"/>
    </w:rPr>
  </w:style>
  <w:style w:type="paragraph" w:customStyle="1" w:styleId="affc">
    <w:name w:val="_标准条文"/>
    <w:basedOn w:val="af6"/>
    <w:qFormat/>
    <w:pPr>
      <w:overflowPunct w:val="0"/>
      <w:snapToGrid w:val="0"/>
      <w:spacing w:line="276" w:lineRule="auto"/>
      <w:ind w:firstLineChars="200" w:firstLine="420"/>
    </w:pPr>
    <w:rPr>
      <w:rFonts w:ascii="Arial" w:hAnsi="Arial" w:cs="宋体"/>
    </w:rPr>
  </w:style>
  <w:style w:type="paragraph" w:customStyle="1" w:styleId="affd">
    <w:name w:val="标准书脚_奇数页"/>
    <w:qFormat/>
    <w:pPr>
      <w:spacing w:before="120"/>
      <w:ind w:right="198"/>
      <w:jc w:val="right"/>
    </w:pPr>
    <w:rPr>
      <w:rFonts w:ascii="宋体"/>
      <w:sz w:val="18"/>
      <w:szCs w:val="18"/>
    </w:rPr>
  </w:style>
  <w:style w:type="paragraph" w:customStyle="1" w:styleId="affe">
    <w:name w:val="封面标准文稿类别"/>
    <w:basedOn w:val="afff"/>
    <w:qFormat/>
    <w:pPr>
      <w:framePr w:wrap="around"/>
      <w:spacing w:line="240" w:lineRule="auto"/>
    </w:pPr>
    <w:rPr>
      <w:sz w:val="24"/>
    </w:rPr>
  </w:style>
  <w:style w:type="paragraph" w:customStyle="1" w:styleId="afff">
    <w:name w:val="封面一致性程度标识"/>
    <w:basedOn w:val="afff0"/>
    <w:qFormat/>
    <w:pPr>
      <w:framePr w:wrap="around"/>
      <w:spacing w:before="440"/>
    </w:pPr>
    <w:rPr>
      <w:rFonts w:ascii="宋体" w:eastAsia="宋体"/>
    </w:rPr>
  </w:style>
  <w:style w:type="paragraph" w:customStyle="1" w:styleId="afff0">
    <w:name w:val="封面标准英文名称"/>
    <w:basedOn w:val="afff1"/>
    <w:qFormat/>
    <w:pPr>
      <w:framePr w:wrap="around"/>
      <w:spacing w:before="370" w:line="400" w:lineRule="exact"/>
    </w:pPr>
    <w:rPr>
      <w:rFonts w:ascii="Times New Roman"/>
      <w:sz w:val="28"/>
      <w:szCs w:val="28"/>
    </w:rPr>
  </w:style>
  <w:style w:type="paragraph" w:customStyle="1" w:styleId="a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2">
    <w:name w:val="注：（正文）"/>
    <w:basedOn w:val="afff3"/>
    <w:next w:val="aff6"/>
    <w:qFormat/>
  </w:style>
  <w:style w:type="paragraph" w:customStyle="1" w:styleId="afff3">
    <w:name w:val="注："/>
    <w:next w:val="aff6"/>
    <w:qFormat/>
    <w:pPr>
      <w:widowControl w:val="0"/>
      <w:autoSpaceDE w:val="0"/>
      <w:autoSpaceDN w:val="0"/>
      <w:jc w:val="both"/>
    </w:pPr>
    <w:rPr>
      <w:rFonts w:ascii="宋体"/>
      <w:sz w:val="18"/>
      <w:szCs w:val="18"/>
    </w:rPr>
  </w:style>
  <w:style w:type="paragraph" w:customStyle="1" w:styleId="ad">
    <w:name w:val="附录表标题"/>
    <w:basedOn w:val="af6"/>
    <w:next w:val="aff6"/>
    <w:qFormat/>
    <w:pPr>
      <w:numPr>
        <w:ilvl w:val="1"/>
        <w:numId w:val="3"/>
      </w:numPr>
      <w:tabs>
        <w:tab w:val="left" w:pos="180"/>
      </w:tabs>
      <w:spacing w:beforeLines="50" w:before="50" w:afterLines="50" w:after="50"/>
      <w:ind w:left="0" w:firstLine="0"/>
      <w:jc w:val="center"/>
    </w:pPr>
    <w:rPr>
      <w:rFonts w:ascii="黑体" w:eastAsia="黑体"/>
      <w:szCs w:val="21"/>
    </w:rPr>
  </w:style>
  <w:style w:type="paragraph" w:customStyle="1" w:styleId="a9">
    <w:name w:val="字母编号列项（一级）"/>
    <w:qFormat/>
    <w:pPr>
      <w:numPr>
        <w:numId w:val="5"/>
      </w:numPr>
      <w:jc w:val="both"/>
    </w:pPr>
    <w:rPr>
      <w:rFonts w:ascii="宋体"/>
      <w:sz w:val="21"/>
    </w:rPr>
  </w:style>
  <w:style w:type="paragraph" w:customStyle="1" w:styleId="afff4">
    <w:name w:val="其他发布部门"/>
    <w:basedOn w:val="af6"/>
    <w:qFormat/>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a6">
    <w:name w:val="五级条标题"/>
    <w:basedOn w:val="a5"/>
    <w:next w:val="aff6"/>
    <w:qFormat/>
    <w:pPr>
      <w:numPr>
        <w:ilvl w:val="5"/>
      </w:numPr>
      <w:outlineLvl w:val="6"/>
    </w:pPr>
  </w:style>
  <w:style w:type="paragraph" w:customStyle="1" w:styleId="a5">
    <w:name w:val="四级条标题"/>
    <w:basedOn w:val="a4"/>
    <w:next w:val="aff6"/>
    <w:qFormat/>
    <w:pPr>
      <w:numPr>
        <w:ilvl w:val="4"/>
      </w:numPr>
      <w:tabs>
        <w:tab w:val="left" w:pos="360"/>
      </w:tabs>
      <w:outlineLvl w:val="5"/>
    </w:pPr>
  </w:style>
  <w:style w:type="paragraph" w:customStyle="1" w:styleId="afff5">
    <w:name w:val="标准书脚_偶数页"/>
    <w:qFormat/>
    <w:pPr>
      <w:spacing w:before="120"/>
      <w:ind w:left="221"/>
    </w:pPr>
    <w:rPr>
      <w:rFonts w:ascii="宋体"/>
      <w:sz w:val="18"/>
      <w:szCs w:val="18"/>
    </w:rPr>
  </w:style>
  <w:style w:type="paragraph" w:customStyle="1" w:styleId="afff6">
    <w:name w:val="其他发布日期"/>
    <w:basedOn w:val="af6"/>
    <w:qFormat/>
    <w:pPr>
      <w:framePr w:w="3997" w:h="471" w:hRule="exact" w:vSpace="181" w:wrap="around" w:vAnchor="page" w:hAnchor="page" w:x="1419" w:y="14097" w:anchorLock="1"/>
      <w:widowControl/>
      <w:jc w:val="left"/>
    </w:pPr>
    <w:rPr>
      <w:rFonts w:eastAsia="黑体"/>
      <w:kern w:val="0"/>
      <w:sz w:val="28"/>
    </w:rPr>
  </w:style>
  <w:style w:type="paragraph" w:customStyle="1" w:styleId="af0">
    <w:name w:val="附录章标题"/>
    <w:next w:val="aff6"/>
    <w:qFormat/>
    <w:pPr>
      <w:numPr>
        <w:ilvl w:val="1"/>
        <w:numId w:val="6"/>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7">
    <w:name w:val="其他标准标志"/>
    <w:basedOn w:val="af6"/>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ff8">
    <w:name w:val="其他实施日期"/>
    <w:basedOn w:val="af6"/>
    <w:qFormat/>
    <w:pPr>
      <w:framePr w:w="3997" w:h="471" w:hRule="exact" w:vSpace="181" w:wrap="around" w:vAnchor="page" w:hAnchor="page" w:x="7089" w:y="14097" w:anchorLock="1"/>
      <w:widowControl/>
      <w:jc w:val="right"/>
    </w:pPr>
    <w:rPr>
      <w:rFonts w:eastAsia="黑体"/>
      <w:kern w:val="0"/>
      <w:sz w:val="28"/>
    </w:rPr>
  </w:style>
  <w:style w:type="paragraph" w:customStyle="1" w:styleId="af">
    <w:name w:val="附录标识"/>
    <w:basedOn w:val="af6"/>
    <w:next w:val="aff6"/>
    <w:qFormat/>
    <w:pPr>
      <w:keepNext/>
      <w:widowControl/>
      <w:numPr>
        <w:numId w:val="6"/>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a7">
    <w:name w:val="附录图标号"/>
    <w:basedOn w:val="af6"/>
    <w:qFormat/>
    <w:pPr>
      <w:keepNext/>
      <w:pageBreakBefore/>
      <w:widowControl/>
      <w:numPr>
        <w:numId w:val="7"/>
      </w:numPr>
      <w:spacing w:line="14" w:lineRule="exact"/>
      <w:ind w:left="0" w:firstLine="363"/>
      <w:jc w:val="center"/>
      <w:outlineLvl w:val="0"/>
    </w:pPr>
    <w:rPr>
      <w:color w:val="FFFFFF"/>
      <w:szCs w:val="24"/>
    </w:rPr>
  </w:style>
  <w:style w:type="paragraph" w:customStyle="1" w:styleId="afff9">
    <w:name w:val="一级无"/>
    <w:basedOn w:val="a2"/>
    <w:qFormat/>
    <w:pPr>
      <w:spacing w:beforeLines="0" w:before="0" w:afterLines="0" w:after="0"/>
    </w:pPr>
    <w:rPr>
      <w:rFonts w:ascii="宋体" w:eastAsia="宋体"/>
    </w:rPr>
  </w:style>
  <w:style w:type="paragraph" w:customStyle="1" w:styleId="WPSOffice1">
    <w:name w:val="WPSOffice手动目录 1"/>
    <w:qFormat/>
  </w:style>
  <w:style w:type="paragraph" w:customStyle="1" w:styleId="afffa">
    <w:name w:val="图表脚注说明"/>
    <w:basedOn w:val="af6"/>
    <w:qFormat/>
    <w:pPr>
      <w:ind w:left="1098" w:hanging="363"/>
    </w:pPr>
    <w:rPr>
      <w:rFonts w:ascii="宋体"/>
      <w:sz w:val="18"/>
      <w:szCs w:val="18"/>
    </w:rPr>
  </w:style>
  <w:style w:type="paragraph" w:customStyle="1" w:styleId="afffb">
    <w:name w:val="前言、引言标题"/>
    <w:next w:val="aff6"/>
    <w:qFormat/>
    <w:pPr>
      <w:keepNext/>
      <w:pageBreakBefore/>
      <w:shd w:val="clear" w:color="FFFFFF" w:fill="FFFFFF"/>
      <w:spacing w:before="640" w:after="560"/>
      <w:jc w:val="center"/>
      <w:outlineLvl w:val="0"/>
    </w:pPr>
    <w:rPr>
      <w:rFonts w:ascii="黑体" w:eastAsia="黑体"/>
      <w:sz w:val="32"/>
    </w:rPr>
  </w:style>
  <w:style w:type="paragraph" w:customStyle="1" w:styleId="a1">
    <w:name w:val="章标题"/>
    <w:next w:val="aff6"/>
    <w:qFormat/>
    <w:pPr>
      <w:numPr>
        <w:numId w:val="2"/>
      </w:numPr>
      <w:spacing w:beforeLines="100" w:before="312" w:afterLines="100" w:after="312"/>
      <w:jc w:val="both"/>
      <w:outlineLvl w:val="1"/>
    </w:pPr>
    <w:rPr>
      <w:rFonts w:ascii="黑体" w:eastAsia="黑体"/>
      <w:sz w:val="21"/>
    </w:rPr>
  </w:style>
  <w:style w:type="paragraph" w:customStyle="1" w:styleId="a0">
    <w:name w:val="注×：（正文）"/>
    <w:qFormat/>
    <w:pPr>
      <w:numPr>
        <w:numId w:val="8"/>
      </w:numPr>
      <w:jc w:val="both"/>
    </w:pPr>
    <w:rPr>
      <w:rFonts w:ascii="宋体"/>
      <w:sz w:val="18"/>
      <w:szCs w:val="18"/>
    </w:rPr>
  </w:style>
  <w:style w:type="paragraph" w:customStyle="1" w:styleId="ab">
    <w:name w:val="编号列项（三级）"/>
    <w:qFormat/>
    <w:pPr>
      <w:numPr>
        <w:ilvl w:val="2"/>
        <w:numId w:val="5"/>
      </w:numPr>
    </w:pPr>
    <w:rPr>
      <w:rFonts w:ascii="宋体"/>
      <w:sz w:val="21"/>
    </w:rPr>
  </w:style>
  <w:style w:type="paragraph" w:customStyle="1" w:styleId="af2">
    <w:name w:val="附录二级条标题"/>
    <w:basedOn w:val="af6"/>
    <w:next w:val="aff6"/>
    <w:qFormat/>
    <w:pPr>
      <w:widowControl/>
      <w:numPr>
        <w:ilvl w:val="3"/>
        <w:numId w:val="6"/>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rPr>
  </w:style>
  <w:style w:type="paragraph" w:customStyle="1" w:styleId="afffc">
    <w:name w:val="封面标准文稿编辑信息"/>
    <w:basedOn w:val="affe"/>
    <w:qFormat/>
    <w:pPr>
      <w:framePr w:wrap="around"/>
      <w:spacing w:before="180" w:line="180" w:lineRule="exact"/>
    </w:pPr>
    <w:rPr>
      <w:sz w:val="21"/>
    </w:rPr>
  </w:style>
  <w:style w:type="paragraph" w:customStyle="1" w:styleId="afffd">
    <w:name w:val="标准书眉_奇数页"/>
    <w:next w:val="af6"/>
    <w:qFormat/>
    <w:pPr>
      <w:tabs>
        <w:tab w:val="center" w:pos="4154"/>
        <w:tab w:val="right" w:pos="8306"/>
      </w:tabs>
      <w:spacing w:after="220"/>
      <w:jc w:val="right"/>
    </w:pPr>
    <w:rPr>
      <w:rFonts w:ascii="黑体" w:eastAsia="黑体"/>
      <w:sz w:val="21"/>
      <w:szCs w:val="21"/>
    </w:rPr>
  </w:style>
  <w:style w:type="paragraph" w:customStyle="1" w:styleId="afffe">
    <w:name w:val="三级无"/>
    <w:basedOn w:val="a4"/>
    <w:qFormat/>
    <w:pPr>
      <w:spacing w:beforeLines="0" w:before="0" w:afterLines="0" w:after="0"/>
    </w:pPr>
    <w:rPr>
      <w:rFonts w:ascii="宋体" w:eastAsia="宋体"/>
    </w:rPr>
  </w:style>
  <w:style w:type="paragraph" w:customStyle="1" w:styleId="af4">
    <w:name w:val="附录四级条标题"/>
    <w:basedOn w:val="af3"/>
    <w:next w:val="aff6"/>
    <w:qFormat/>
    <w:pPr>
      <w:numPr>
        <w:ilvl w:val="5"/>
      </w:numPr>
      <w:outlineLvl w:val="5"/>
    </w:pPr>
  </w:style>
  <w:style w:type="paragraph" w:customStyle="1" w:styleId="af3">
    <w:name w:val="附录三级条标题"/>
    <w:basedOn w:val="af2"/>
    <w:next w:val="aff6"/>
    <w:qFormat/>
    <w:pPr>
      <w:numPr>
        <w:ilvl w:val="4"/>
      </w:numPr>
      <w:outlineLvl w:val="4"/>
    </w:pPr>
  </w:style>
  <w:style w:type="paragraph" w:customStyle="1" w:styleId="affff">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0">
    <w:name w:val="目次、标准名称标题"/>
    <w:basedOn w:val="af6"/>
    <w:next w:val="aff6"/>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fff1">
    <w:name w:val="其他标准称谓"/>
    <w:next w:val="af6"/>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e">
    <w:name w:val="正文表标题"/>
    <w:next w:val="aff6"/>
    <w:qFormat/>
    <w:pPr>
      <w:numPr>
        <w:numId w:val="9"/>
      </w:numPr>
      <w:tabs>
        <w:tab w:val="left" w:pos="360"/>
      </w:tabs>
      <w:spacing w:beforeLines="50" w:before="156" w:afterLines="50" w:after="156"/>
      <w:jc w:val="center"/>
    </w:pPr>
    <w:rPr>
      <w:rFonts w:ascii="黑体" w:eastAsia="黑体"/>
      <w:sz w:val="21"/>
    </w:rPr>
  </w:style>
  <w:style w:type="paragraph" w:customStyle="1" w:styleId="af5">
    <w:name w:val="附录五级条标题"/>
    <w:basedOn w:val="af4"/>
    <w:next w:val="aff6"/>
    <w:qFormat/>
    <w:pPr>
      <w:numPr>
        <w:ilvl w:val="6"/>
      </w:numPr>
      <w:outlineLvl w:val="6"/>
    </w:pPr>
  </w:style>
  <w:style w:type="paragraph" w:customStyle="1" w:styleId="af1">
    <w:name w:val="附录一级条标题"/>
    <w:basedOn w:val="af0"/>
    <w:next w:val="aff6"/>
    <w:qFormat/>
    <w:pPr>
      <w:numPr>
        <w:ilvl w:val="2"/>
      </w:numPr>
      <w:autoSpaceDN w:val="0"/>
      <w:spacing w:beforeLines="50" w:before="50" w:afterLines="50" w:after="50"/>
      <w:outlineLvl w:val="2"/>
    </w:pPr>
  </w:style>
  <w:style w:type="paragraph" w:customStyle="1" w:styleId="a8">
    <w:name w:val="附录图标题"/>
    <w:basedOn w:val="af6"/>
    <w:next w:val="aff6"/>
    <w:qFormat/>
    <w:pPr>
      <w:numPr>
        <w:ilvl w:val="1"/>
        <w:numId w:val="7"/>
      </w:numPr>
      <w:tabs>
        <w:tab w:val="left" w:pos="363"/>
      </w:tabs>
      <w:spacing w:beforeLines="50" w:before="50" w:afterLines="50" w:after="50"/>
      <w:ind w:left="0" w:firstLine="0"/>
      <w:jc w:val="center"/>
    </w:pPr>
    <w:rPr>
      <w:rFonts w:ascii="黑体" w:eastAsia="黑体"/>
      <w:szCs w:val="21"/>
    </w:rPr>
  </w:style>
  <w:style w:type="paragraph" w:customStyle="1" w:styleId="affff2">
    <w:name w:val="标准书眉_偶数页"/>
    <w:basedOn w:val="afffd"/>
    <w:next w:val="af6"/>
    <w:qFormat/>
    <w:pPr>
      <w:jc w:val="left"/>
    </w:pPr>
  </w:style>
  <w:style w:type="paragraph" w:customStyle="1" w:styleId="WPSOffice3">
    <w:name w:val="WPSOffice手动目录 3"/>
    <w:qFormat/>
    <w:pPr>
      <w:ind w:leftChars="400" w:left="400"/>
    </w:pPr>
  </w:style>
  <w:style w:type="paragraph" w:customStyle="1" w:styleId="Style134">
    <w:name w:val="_Style 134"/>
    <w:basedOn w:val="af6"/>
    <w:next w:val="aff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2591</Words>
  <Characters>14769</Characters>
  <Application>Microsoft Office Word</Application>
  <DocSecurity>0</DocSecurity>
  <Lines>123</Lines>
  <Paragraphs>34</Paragraphs>
  <ScaleCrop>false</ScaleCrop>
  <Company>Gskening</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lyx81627@163.com</cp:lastModifiedBy>
  <cp:revision>14</cp:revision>
  <cp:lastPrinted>2017-12-20T02:04:00Z</cp:lastPrinted>
  <dcterms:created xsi:type="dcterms:W3CDTF">2015-12-01T03:20:00Z</dcterms:created>
  <dcterms:modified xsi:type="dcterms:W3CDTF">2026-06-22T03:47:00Z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C6DFBED597454F43B3B12DD03EFC3528_13</vt:lpwstr>
  </property>
  <property fmtid="{D5CDD505-2E9C-101B-9397-08002B2CF9AE}" pid="4" name="KSOTemplateDocerSaveRecord">
    <vt:lpwstr>eyJoZGlkIjoiOTExODk3MjI4M2YwOTRjYzY4YTQ5ZDk1ZjBiYjgxZWUiLCJ1c2VySWQiOiI2MDU0NzExOTUifQ==</vt:lpwstr>
  </property>
</Properties>
</file>